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074" w:rsidRDefault="00C44074" w:rsidP="00057500">
      <w:pPr>
        <w:spacing w:line="360" w:lineRule="auto"/>
        <w:jc w:val="both"/>
        <w:rPr>
          <w:sz w:val="24"/>
        </w:rPr>
      </w:pPr>
    </w:p>
    <w:p w:rsidR="000C3040" w:rsidRDefault="000C3040" w:rsidP="007F7669">
      <w:pPr>
        <w:pStyle w:val="Titolo2"/>
        <w:spacing w:line="360" w:lineRule="auto"/>
      </w:pPr>
      <w:r w:rsidRPr="00712EAC">
        <w:t>ANALISI DELLE RISORSE</w:t>
      </w:r>
      <w:r w:rsidR="009C5E3E">
        <w:t xml:space="preserve"> – FORMA SINTETICA </w:t>
      </w:r>
    </w:p>
    <w:p w:rsidR="00FD5C7E" w:rsidRDefault="00FD5C7E" w:rsidP="007F7669">
      <w:pPr>
        <w:pStyle w:val="Titolo3"/>
        <w:spacing w:line="360" w:lineRule="auto"/>
        <w:jc w:val="center"/>
        <w:rPr>
          <w:rFonts w:ascii="Arial" w:hAnsi="Arial" w:cs="Arial"/>
          <w:b/>
          <w:bCs/>
          <w:color w:val="000000"/>
          <w:sz w:val="22"/>
          <w:szCs w:val="22"/>
          <w:lang w:bidi="ar-SA"/>
        </w:rPr>
      </w:pPr>
    </w:p>
    <w:p w:rsidR="0078622E" w:rsidRDefault="00FD5C7E" w:rsidP="007F7669">
      <w:pPr>
        <w:pStyle w:val="Titolo3"/>
        <w:spacing w:line="360" w:lineRule="auto"/>
        <w:jc w:val="center"/>
        <w:rPr>
          <w:rFonts w:ascii="Arial" w:hAnsi="Arial" w:cs="Arial"/>
          <w:b/>
          <w:bCs/>
          <w:color w:val="000000"/>
          <w:sz w:val="22"/>
          <w:szCs w:val="22"/>
          <w:lang w:bidi="ar-SA"/>
        </w:rPr>
      </w:pPr>
      <w:r>
        <w:rPr>
          <w:rFonts w:ascii="Arial" w:hAnsi="Arial" w:cs="Arial"/>
          <w:b/>
          <w:bCs/>
          <w:color w:val="000000"/>
          <w:sz w:val="22"/>
          <w:szCs w:val="22"/>
          <w:lang w:bidi="ar-SA"/>
        </w:rPr>
        <w:t>Quadro generale riassuntivo Bilancio preventivo 2013</w:t>
      </w:r>
    </w:p>
    <w:p w:rsidR="00FD5C7E" w:rsidRPr="00FD5C7E" w:rsidRDefault="00FD5C7E" w:rsidP="00FD5C7E">
      <w:pPr>
        <w:rPr>
          <w:lang w:bidi="ar-SA"/>
        </w:rPr>
      </w:pPr>
    </w:p>
    <w:tbl>
      <w:tblPr>
        <w:tblW w:w="9716" w:type="dxa"/>
        <w:tblInd w:w="-38" w:type="dxa"/>
        <w:tblLayout w:type="fixed"/>
        <w:tblCellMar>
          <w:left w:w="30" w:type="dxa"/>
          <w:right w:w="30" w:type="dxa"/>
        </w:tblCellMar>
        <w:tblLook w:val="0000" w:firstRow="0" w:lastRow="0" w:firstColumn="0" w:lastColumn="0" w:noHBand="0" w:noVBand="0"/>
      </w:tblPr>
      <w:tblGrid>
        <w:gridCol w:w="739"/>
        <w:gridCol w:w="2462"/>
        <w:gridCol w:w="1647"/>
        <w:gridCol w:w="74"/>
        <w:gridCol w:w="6"/>
        <w:gridCol w:w="84"/>
        <w:gridCol w:w="765"/>
        <w:gridCol w:w="2207"/>
        <w:gridCol w:w="1732"/>
      </w:tblGrid>
      <w:tr w:rsidR="00FD5C7E" w:rsidTr="00FD5C7E">
        <w:tblPrEx>
          <w:tblCellMar>
            <w:top w:w="0" w:type="dxa"/>
            <w:bottom w:w="0" w:type="dxa"/>
          </w:tblCellMar>
        </w:tblPrEx>
        <w:trPr>
          <w:trHeight w:val="389"/>
        </w:trPr>
        <w:tc>
          <w:tcPr>
            <w:tcW w:w="4848" w:type="dxa"/>
            <w:gridSpan w:val="3"/>
            <w:tcBorders>
              <w:top w:val="single" w:sz="6" w:space="0" w:color="auto"/>
              <w:left w:val="single" w:sz="6" w:space="0" w:color="auto"/>
              <w:bottom w:val="single" w:sz="6" w:space="0" w:color="auto"/>
              <w:right w:val="nil"/>
            </w:tcBorders>
            <w:shd w:val="solid" w:color="FFFF00" w:fill="auto"/>
          </w:tcPr>
          <w:p w:rsidR="00FD5C7E" w:rsidRDefault="00FD5C7E" w:rsidP="00FD5C7E">
            <w:pPr>
              <w:autoSpaceDE w:val="0"/>
              <w:autoSpaceDN w:val="0"/>
              <w:adjustRightInd w:val="0"/>
              <w:jc w:val="center"/>
              <w:rPr>
                <w:rFonts w:ascii="Arial" w:hAnsi="Arial" w:cs="Arial"/>
                <w:b/>
                <w:bCs/>
                <w:color w:val="000000"/>
                <w:sz w:val="22"/>
                <w:szCs w:val="22"/>
                <w:lang w:bidi="ar-SA"/>
              </w:rPr>
            </w:pPr>
          </w:p>
        </w:tc>
        <w:tc>
          <w:tcPr>
            <w:tcW w:w="80" w:type="dxa"/>
            <w:gridSpan w:val="2"/>
            <w:tcBorders>
              <w:top w:val="single" w:sz="6" w:space="0" w:color="auto"/>
              <w:left w:val="nil"/>
              <w:bottom w:val="single" w:sz="6" w:space="0" w:color="auto"/>
              <w:right w:val="nil"/>
            </w:tcBorders>
            <w:shd w:val="solid" w:color="FFFF00" w:fill="auto"/>
          </w:tcPr>
          <w:p w:rsidR="00FD5C7E" w:rsidRDefault="00FD5C7E" w:rsidP="00FD5C7E">
            <w:pPr>
              <w:autoSpaceDE w:val="0"/>
              <w:autoSpaceDN w:val="0"/>
              <w:adjustRightInd w:val="0"/>
              <w:jc w:val="center"/>
              <w:rPr>
                <w:rFonts w:ascii="Arial" w:hAnsi="Arial" w:cs="Arial"/>
                <w:b/>
                <w:bCs/>
                <w:color w:val="000000"/>
                <w:sz w:val="22"/>
                <w:szCs w:val="22"/>
                <w:lang w:bidi="ar-SA"/>
              </w:rPr>
            </w:pPr>
          </w:p>
        </w:tc>
        <w:tc>
          <w:tcPr>
            <w:tcW w:w="84" w:type="dxa"/>
            <w:tcBorders>
              <w:top w:val="single" w:sz="6" w:space="0" w:color="auto"/>
              <w:left w:val="nil"/>
              <w:bottom w:val="single" w:sz="6" w:space="0" w:color="auto"/>
              <w:right w:val="nil"/>
            </w:tcBorders>
            <w:shd w:val="solid" w:color="FFFF00" w:fill="auto"/>
          </w:tcPr>
          <w:p w:rsidR="00FD5C7E" w:rsidRDefault="00FD5C7E">
            <w:pPr>
              <w:autoSpaceDE w:val="0"/>
              <w:autoSpaceDN w:val="0"/>
              <w:adjustRightInd w:val="0"/>
              <w:jc w:val="center"/>
              <w:rPr>
                <w:rFonts w:ascii="Arial" w:hAnsi="Arial" w:cs="Arial"/>
                <w:b/>
                <w:bCs/>
                <w:color w:val="000000"/>
                <w:sz w:val="22"/>
                <w:szCs w:val="22"/>
                <w:lang w:bidi="ar-SA"/>
              </w:rPr>
            </w:pPr>
          </w:p>
        </w:tc>
        <w:tc>
          <w:tcPr>
            <w:tcW w:w="765" w:type="dxa"/>
            <w:tcBorders>
              <w:top w:val="single" w:sz="6" w:space="0" w:color="auto"/>
              <w:left w:val="nil"/>
              <w:bottom w:val="single" w:sz="6" w:space="0" w:color="auto"/>
              <w:right w:val="nil"/>
            </w:tcBorders>
            <w:shd w:val="solid" w:color="FFFF00" w:fill="auto"/>
          </w:tcPr>
          <w:p w:rsidR="00FD5C7E" w:rsidRDefault="00FD5C7E">
            <w:pPr>
              <w:autoSpaceDE w:val="0"/>
              <w:autoSpaceDN w:val="0"/>
              <w:adjustRightInd w:val="0"/>
              <w:jc w:val="center"/>
              <w:rPr>
                <w:rFonts w:ascii="Arial" w:hAnsi="Arial" w:cs="Arial"/>
                <w:b/>
                <w:bCs/>
                <w:color w:val="000000"/>
                <w:sz w:val="22"/>
                <w:szCs w:val="22"/>
                <w:lang w:bidi="ar-SA"/>
              </w:rPr>
            </w:pPr>
          </w:p>
        </w:tc>
        <w:tc>
          <w:tcPr>
            <w:tcW w:w="2207" w:type="dxa"/>
            <w:tcBorders>
              <w:top w:val="single" w:sz="6" w:space="0" w:color="auto"/>
              <w:left w:val="nil"/>
              <w:bottom w:val="single" w:sz="6" w:space="0" w:color="auto"/>
              <w:right w:val="nil"/>
            </w:tcBorders>
            <w:shd w:val="solid" w:color="FFFF00" w:fill="auto"/>
          </w:tcPr>
          <w:p w:rsidR="00FD5C7E" w:rsidRDefault="00FD5C7E">
            <w:pPr>
              <w:autoSpaceDE w:val="0"/>
              <w:autoSpaceDN w:val="0"/>
              <w:adjustRightInd w:val="0"/>
              <w:jc w:val="center"/>
              <w:rPr>
                <w:rFonts w:ascii="Arial" w:hAnsi="Arial" w:cs="Arial"/>
                <w:b/>
                <w:bCs/>
                <w:color w:val="000000"/>
                <w:sz w:val="22"/>
                <w:szCs w:val="22"/>
                <w:lang w:bidi="ar-SA"/>
              </w:rPr>
            </w:pPr>
          </w:p>
        </w:tc>
        <w:tc>
          <w:tcPr>
            <w:tcW w:w="1732" w:type="dxa"/>
            <w:tcBorders>
              <w:top w:val="single" w:sz="6" w:space="0" w:color="auto"/>
              <w:left w:val="nil"/>
              <w:bottom w:val="single" w:sz="6" w:space="0" w:color="auto"/>
              <w:right w:val="single" w:sz="6" w:space="0" w:color="auto"/>
            </w:tcBorders>
            <w:shd w:val="solid" w:color="FFFF00" w:fill="auto"/>
          </w:tcPr>
          <w:p w:rsidR="00FD5C7E" w:rsidRDefault="00FD5C7E">
            <w:pPr>
              <w:autoSpaceDE w:val="0"/>
              <w:autoSpaceDN w:val="0"/>
              <w:adjustRightInd w:val="0"/>
              <w:jc w:val="center"/>
              <w:rPr>
                <w:rFonts w:ascii="Arial" w:hAnsi="Arial" w:cs="Arial"/>
                <w:b/>
                <w:bCs/>
                <w:color w:val="000000"/>
                <w:sz w:val="22"/>
                <w:szCs w:val="22"/>
                <w:lang w:bidi="ar-SA"/>
              </w:rPr>
            </w:pPr>
          </w:p>
        </w:tc>
      </w:tr>
      <w:tr w:rsidR="00FD5C7E" w:rsidTr="00FD5C7E">
        <w:tblPrEx>
          <w:tblCellMar>
            <w:top w:w="0" w:type="dxa"/>
            <w:bottom w:w="0" w:type="dxa"/>
          </w:tblCellMar>
        </w:tblPrEx>
        <w:trPr>
          <w:trHeight w:val="389"/>
        </w:trPr>
        <w:tc>
          <w:tcPr>
            <w:tcW w:w="3201" w:type="dxa"/>
            <w:gridSpan w:val="2"/>
            <w:tcBorders>
              <w:top w:val="single" w:sz="6" w:space="0" w:color="auto"/>
              <w:left w:val="single" w:sz="6" w:space="0" w:color="auto"/>
              <w:bottom w:val="single" w:sz="6" w:space="0" w:color="auto"/>
              <w:right w:val="nil"/>
            </w:tcBorders>
          </w:tcPr>
          <w:p w:rsidR="00FD5C7E" w:rsidRDefault="00FD5C7E" w:rsidP="00FD5C7E">
            <w:pPr>
              <w:autoSpaceDE w:val="0"/>
              <w:autoSpaceDN w:val="0"/>
              <w:adjustRightInd w:val="0"/>
              <w:jc w:val="center"/>
              <w:rPr>
                <w:rFonts w:ascii="Arial" w:hAnsi="Arial" w:cs="Arial"/>
                <w:b/>
                <w:bCs/>
                <w:color w:val="000000"/>
                <w:sz w:val="22"/>
                <w:szCs w:val="22"/>
                <w:lang w:bidi="ar-SA"/>
              </w:rPr>
            </w:pPr>
            <w:r>
              <w:rPr>
                <w:rFonts w:ascii="Arial" w:hAnsi="Arial" w:cs="Arial"/>
                <w:b/>
                <w:bCs/>
                <w:color w:val="000000"/>
                <w:sz w:val="22"/>
                <w:szCs w:val="22"/>
                <w:lang w:bidi="ar-SA"/>
              </w:rPr>
              <w:t>Entrate</w:t>
            </w:r>
          </w:p>
        </w:tc>
        <w:tc>
          <w:tcPr>
            <w:tcW w:w="1721" w:type="dxa"/>
            <w:gridSpan w:val="2"/>
            <w:tcBorders>
              <w:top w:val="single" w:sz="6" w:space="0" w:color="auto"/>
              <w:left w:val="nil"/>
              <w:bottom w:val="single" w:sz="6" w:space="0" w:color="auto"/>
              <w:right w:val="nil"/>
            </w:tcBorders>
          </w:tcPr>
          <w:p w:rsidR="00FD5C7E" w:rsidRDefault="00FD5C7E" w:rsidP="00FD5C7E">
            <w:pPr>
              <w:autoSpaceDE w:val="0"/>
              <w:autoSpaceDN w:val="0"/>
              <w:adjustRightInd w:val="0"/>
              <w:jc w:val="center"/>
              <w:rPr>
                <w:rFonts w:ascii="Comic Sans MS" w:hAnsi="Comic Sans MS" w:cs="Comic Sans MS"/>
                <w:b/>
                <w:bCs/>
                <w:color w:val="000000"/>
                <w:sz w:val="16"/>
                <w:szCs w:val="16"/>
                <w:lang w:bidi="ar-SA"/>
              </w:rPr>
            </w:pPr>
          </w:p>
        </w:tc>
        <w:tc>
          <w:tcPr>
            <w:tcW w:w="90" w:type="dxa"/>
            <w:gridSpan w:val="2"/>
            <w:tcBorders>
              <w:top w:val="single" w:sz="6" w:space="0" w:color="auto"/>
              <w:left w:val="single" w:sz="6" w:space="0" w:color="auto"/>
              <w:bottom w:val="single" w:sz="6" w:space="0" w:color="auto"/>
              <w:right w:val="nil"/>
            </w:tcBorders>
          </w:tcPr>
          <w:p w:rsidR="00FD5C7E" w:rsidRDefault="00FD5C7E" w:rsidP="00FD5C7E">
            <w:pPr>
              <w:autoSpaceDE w:val="0"/>
              <w:autoSpaceDN w:val="0"/>
              <w:adjustRightInd w:val="0"/>
              <w:jc w:val="center"/>
              <w:rPr>
                <w:rFonts w:ascii="Comic Sans MS" w:hAnsi="Comic Sans MS" w:cs="Comic Sans MS"/>
                <w:b/>
                <w:bCs/>
                <w:color w:val="000000"/>
                <w:sz w:val="16"/>
                <w:szCs w:val="16"/>
                <w:lang w:bidi="ar-SA"/>
              </w:rPr>
            </w:pPr>
          </w:p>
        </w:tc>
        <w:tc>
          <w:tcPr>
            <w:tcW w:w="765" w:type="dxa"/>
            <w:tcBorders>
              <w:top w:val="single" w:sz="6" w:space="0" w:color="auto"/>
              <w:left w:val="single" w:sz="6" w:space="0" w:color="auto"/>
              <w:bottom w:val="single" w:sz="6" w:space="0" w:color="auto"/>
              <w:right w:val="nil"/>
            </w:tcBorders>
          </w:tcPr>
          <w:p w:rsidR="00FD5C7E" w:rsidRDefault="00FD5C7E" w:rsidP="00FD5C7E">
            <w:pPr>
              <w:autoSpaceDE w:val="0"/>
              <w:autoSpaceDN w:val="0"/>
              <w:adjustRightInd w:val="0"/>
              <w:jc w:val="center"/>
              <w:rPr>
                <w:rFonts w:ascii="Arial" w:hAnsi="Arial" w:cs="Arial"/>
                <w:b/>
                <w:bCs/>
                <w:color w:val="000000"/>
                <w:sz w:val="22"/>
                <w:szCs w:val="22"/>
                <w:lang w:bidi="ar-SA"/>
              </w:rPr>
            </w:pPr>
            <w:r>
              <w:rPr>
                <w:rFonts w:ascii="Arial" w:hAnsi="Arial" w:cs="Arial"/>
                <w:b/>
                <w:bCs/>
                <w:color w:val="000000"/>
                <w:sz w:val="22"/>
                <w:szCs w:val="22"/>
                <w:lang w:bidi="ar-SA"/>
              </w:rPr>
              <w:t>Spese</w:t>
            </w:r>
          </w:p>
        </w:tc>
        <w:tc>
          <w:tcPr>
            <w:tcW w:w="2207" w:type="dxa"/>
            <w:tcBorders>
              <w:top w:val="single" w:sz="6" w:space="0" w:color="auto"/>
              <w:left w:val="nil"/>
              <w:bottom w:val="single" w:sz="6" w:space="0" w:color="auto"/>
              <w:right w:val="nil"/>
            </w:tcBorders>
          </w:tcPr>
          <w:p w:rsidR="00FD5C7E" w:rsidRDefault="00FD5C7E" w:rsidP="00FD5C7E">
            <w:pPr>
              <w:autoSpaceDE w:val="0"/>
              <w:autoSpaceDN w:val="0"/>
              <w:adjustRightInd w:val="0"/>
              <w:jc w:val="center"/>
              <w:rPr>
                <w:rFonts w:ascii="Arial" w:hAnsi="Arial" w:cs="Arial"/>
                <w:b/>
                <w:bCs/>
                <w:color w:val="000000"/>
                <w:sz w:val="22"/>
                <w:szCs w:val="22"/>
                <w:lang w:bidi="ar-SA"/>
              </w:rPr>
            </w:pPr>
          </w:p>
        </w:tc>
        <w:tc>
          <w:tcPr>
            <w:tcW w:w="1732" w:type="dxa"/>
            <w:tcBorders>
              <w:top w:val="single" w:sz="6" w:space="0" w:color="auto"/>
              <w:left w:val="nil"/>
              <w:bottom w:val="single" w:sz="6" w:space="0" w:color="auto"/>
              <w:right w:val="single" w:sz="6" w:space="0" w:color="auto"/>
            </w:tcBorders>
          </w:tcPr>
          <w:p w:rsidR="00FD5C7E" w:rsidRDefault="00FD5C7E" w:rsidP="00FD5C7E">
            <w:pPr>
              <w:autoSpaceDE w:val="0"/>
              <w:autoSpaceDN w:val="0"/>
              <w:adjustRightInd w:val="0"/>
              <w:jc w:val="center"/>
              <w:rPr>
                <w:rFonts w:ascii="Comic Sans MS" w:hAnsi="Comic Sans MS" w:cs="Comic Sans MS"/>
                <w:b/>
                <w:bCs/>
                <w:color w:val="000000"/>
                <w:sz w:val="16"/>
                <w:szCs w:val="16"/>
                <w:lang w:bidi="ar-SA"/>
              </w:rPr>
            </w:pPr>
          </w:p>
        </w:tc>
      </w:tr>
      <w:tr w:rsidR="00FD5C7E" w:rsidTr="00FD5C7E">
        <w:tblPrEx>
          <w:tblCellMar>
            <w:top w:w="0" w:type="dxa"/>
            <w:bottom w:w="0" w:type="dxa"/>
          </w:tblCellMar>
        </w:tblPrEx>
        <w:trPr>
          <w:trHeight w:val="58"/>
        </w:trPr>
        <w:tc>
          <w:tcPr>
            <w:tcW w:w="739" w:type="dxa"/>
            <w:tcBorders>
              <w:top w:val="single" w:sz="6" w:space="0" w:color="auto"/>
              <w:left w:val="single" w:sz="6" w:space="0" w:color="auto"/>
              <w:bottom w:val="nil"/>
              <w:right w:val="nil"/>
            </w:tcBorders>
            <w:shd w:val="solid" w:color="C0C0C0" w:fill="auto"/>
          </w:tcPr>
          <w:p w:rsidR="00FD5C7E" w:rsidRDefault="00FD5C7E">
            <w:pPr>
              <w:autoSpaceDE w:val="0"/>
              <w:autoSpaceDN w:val="0"/>
              <w:adjustRightInd w:val="0"/>
              <w:jc w:val="center"/>
              <w:rPr>
                <w:rFonts w:ascii="Comic Sans MS" w:hAnsi="Comic Sans MS" w:cs="Comic Sans MS"/>
                <w:b/>
                <w:bCs/>
                <w:color w:val="000000"/>
                <w:sz w:val="16"/>
                <w:szCs w:val="16"/>
                <w:lang w:bidi="ar-SA"/>
              </w:rPr>
            </w:pPr>
          </w:p>
        </w:tc>
        <w:tc>
          <w:tcPr>
            <w:tcW w:w="2462" w:type="dxa"/>
            <w:tcBorders>
              <w:top w:val="single" w:sz="6" w:space="0" w:color="auto"/>
              <w:left w:val="nil"/>
              <w:bottom w:val="nil"/>
              <w:right w:val="nil"/>
            </w:tcBorders>
            <w:shd w:val="solid" w:color="C0C0C0" w:fill="auto"/>
          </w:tcPr>
          <w:p w:rsidR="00FD5C7E" w:rsidRDefault="00FD5C7E">
            <w:pPr>
              <w:autoSpaceDE w:val="0"/>
              <w:autoSpaceDN w:val="0"/>
              <w:adjustRightInd w:val="0"/>
              <w:jc w:val="center"/>
              <w:rPr>
                <w:rFonts w:ascii="Comic Sans MS" w:hAnsi="Comic Sans MS" w:cs="Comic Sans MS"/>
                <w:color w:val="000000"/>
                <w:sz w:val="16"/>
                <w:szCs w:val="16"/>
                <w:lang w:bidi="ar-SA"/>
              </w:rPr>
            </w:pPr>
          </w:p>
        </w:tc>
        <w:tc>
          <w:tcPr>
            <w:tcW w:w="1721" w:type="dxa"/>
            <w:gridSpan w:val="2"/>
            <w:tcBorders>
              <w:top w:val="single" w:sz="6" w:space="0" w:color="auto"/>
              <w:left w:val="nil"/>
              <w:bottom w:val="nil"/>
              <w:right w:val="nil"/>
            </w:tcBorders>
            <w:shd w:val="solid" w:color="C0C0C0" w:fill="auto"/>
          </w:tcPr>
          <w:p w:rsidR="00FD5C7E" w:rsidRDefault="00FD5C7E">
            <w:pPr>
              <w:autoSpaceDE w:val="0"/>
              <w:autoSpaceDN w:val="0"/>
              <w:adjustRightInd w:val="0"/>
              <w:jc w:val="center"/>
              <w:rPr>
                <w:rFonts w:ascii="Comic Sans MS" w:hAnsi="Comic Sans MS" w:cs="Comic Sans MS"/>
                <w:color w:val="000000"/>
                <w:sz w:val="16"/>
                <w:szCs w:val="16"/>
                <w:lang w:bidi="ar-SA"/>
              </w:rPr>
            </w:pPr>
          </w:p>
        </w:tc>
        <w:tc>
          <w:tcPr>
            <w:tcW w:w="90" w:type="dxa"/>
            <w:gridSpan w:val="2"/>
            <w:tcBorders>
              <w:top w:val="single" w:sz="6" w:space="0" w:color="auto"/>
              <w:left w:val="nil"/>
              <w:bottom w:val="nil"/>
              <w:right w:val="nil"/>
            </w:tcBorders>
            <w:shd w:val="solid" w:color="C0C0C0" w:fill="auto"/>
          </w:tcPr>
          <w:p w:rsidR="00FD5C7E" w:rsidRDefault="00FD5C7E">
            <w:pPr>
              <w:autoSpaceDE w:val="0"/>
              <w:autoSpaceDN w:val="0"/>
              <w:adjustRightInd w:val="0"/>
              <w:jc w:val="center"/>
              <w:rPr>
                <w:rFonts w:ascii="Comic Sans MS" w:hAnsi="Comic Sans MS" w:cs="Comic Sans MS"/>
                <w:color w:val="000000"/>
                <w:sz w:val="16"/>
                <w:szCs w:val="16"/>
                <w:lang w:bidi="ar-SA"/>
              </w:rPr>
            </w:pPr>
          </w:p>
        </w:tc>
        <w:tc>
          <w:tcPr>
            <w:tcW w:w="765" w:type="dxa"/>
            <w:tcBorders>
              <w:top w:val="single" w:sz="6" w:space="0" w:color="auto"/>
              <w:left w:val="nil"/>
              <w:bottom w:val="nil"/>
              <w:right w:val="nil"/>
            </w:tcBorders>
            <w:shd w:val="solid" w:color="C0C0C0" w:fill="auto"/>
          </w:tcPr>
          <w:p w:rsidR="00FD5C7E" w:rsidRDefault="00FD5C7E">
            <w:pPr>
              <w:autoSpaceDE w:val="0"/>
              <w:autoSpaceDN w:val="0"/>
              <w:adjustRightInd w:val="0"/>
              <w:jc w:val="center"/>
              <w:rPr>
                <w:rFonts w:ascii="Comic Sans MS" w:hAnsi="Comic Sans MS" w:cs="Comic Sans MS"/>
                <w:color w:val="000000"/>
                <w:sz w:val="16"/>
                <w:szCs w:val="16"/>
                <w:lang w:bidi="ar-SA"/>
              </w:rPr>
            </w:pPr>
          </w:p>
        </w:tc>
        <w:tc>
          <w:tcPr>
            <w:tcW w:w="2207" w:type="dxa"/>
            <w:tcBorders>
              <w:top w:val="single" w:sz="6" w:space="0" w:color="auto"/>
              <w:left w:val="nil"/>
              <w:bottom w:val="nil"/>
              <w:right w:val="nil"/>
            </w:tcBorders>
            <w:shd w:val="solid" w:color="C0C0C0" w:fill="auto"/>
          </w:tcPr>
          <w:p w:rsidR="00FD5C7E" w:rsidRDefault="00FD5C7E">
            <w:pPr>
              <w:autoSpaceDE w:val="0"/>
              <w:autoSpaceDN w:val="0"/>
              <w:adjustRightInd w:val="0"/>
              <w:jc w:val="center"/>
              <w:rPr>
                <w:rFonts w:ascii="Comic Sans MS" w:hAnsi="Comic Sans MS" w:cs="Comic Sans MS"/>
                <w:color w:val="000000"/>
                <w:sz w:val="16"/>
                <w:szCs w:val="16"/>
                <w:lang w:bidi="ar-SA"/>
              </w:rPr>
            </w:pPr>
          </w:p>
        </w:tc>
        <w:tc>
          <w:tcPr>
            <w:tcW w:w="1732" w:type="dxa"/>
            <w:tcBorders>
              <w:top w:val="single" w:sz="6" w:space="0" w:color="auto"/>
              <w:left w:val="nil"/>
              <w:bottom w:val="nil"/>
              <w:right w:val="single" w:sz="6" w:space="0" w:color="auto"/>
            </w:tcBorders>
            <w:shd w:val="solid" w:color="C0C0C0" w:fill="auto"/>
          </w:tcPr>
          <w:p w:rsidR="00FD5C7E" w:rsidRDefault="00FD5C7E">
            <w:pPr>
              <w:autoSpaceDE w:val="0"/>
              <w:autoSpaceDN w:val="0"/>
              <w:adjustRightInd w:val="0"/>
              <w:jc w:val="center"/>
              <w:rPr>
                <w:rFonts w:ascii="Comic Sans MS" w:hAnsi="Comic Sans MS" w:cs="Comic Sans MS"/>
                <w:color w:val="000000"/>
                <w:sz w:val="16"/>
                <w:szCs w:val="16"/>
                <w:lang w:bidi="ar-SA"/>
              </w:rPr>
            </w:pPr>
          </w:p>
        </w:tc>
      </w:tr>
      <w:tr w:rsidR="00FD5C7E" w:rsidTr="00FD5C7E">
        <w:tblPrEx>
          <w:tblCellMar>
            <w:top w:w="0" w:type="dxa"/>
            <w:bottom w:w="0" w:type="dxa"/>
          </w:tblCellMar>
        </w:tblPrEx>
        <w:trPr>
          <w:trHeight w:val="58"/>
        </w:trPr>
        <w:tc>
          <w:tcPr>
            <w:tcW w:w="739" w:type="dxa"/>
            <w:tcBorders>
              <w:top w:val="nil"/>
              <w:left w:val="single" w:sz="6" w:space="0" w:color="auto"/>
              <w:bottom w:val="nil"/>
              <w:right w:val="nil"/>
            </w:tcBorders>
            <w:shd w:val="solid" w:color="808080" w:fill="auto"/>
          </w:tcPr>
          <w:p w:rsidR="00FD5C7E" w:rsidRDefault="00FD5C7E">
            <w:pPr>
              <w:autoSpaceDE w:val="0"/>
              <w:autoSpaceDN w:val="0"/>
              <w:adjustRightInd w:val="0"/>
              <w:jc w:val="right"/>
              <w:rPr>
                <w:rFonts w:ascii="Comic Sans MS" w:hAnsi="Comic Sans MS" w:cs="Comic Sans MS"/>
                <w:color w:val="000000"/>
                <w:sz w:val="16"/>
                <w:szCs w:val="16"/>
                <w:lang w:bidi="ar-SA"/>
              </w:rPr>
            </w:pPr>
          </w:p>
        </w:tc>
        <w:tc>
          <w:tcPr>
            <w:tcW w:w="2462" w:type="dxa"/>
            <w:tcBorders>
              <w:top w:val="nil"/>
              <w:left w:val="nil"/>
              <w:bottom w:val="nil"/>
              <w:right w:val="nil"/>
            </w:tcBorders>
            <w:shd w:val="solid" w:color="808080" w:fill="auto"/>
          </w:tcPr>
          <w:p w:rsidR="00FD5C7E" w:rsidRDefault="00FD5C7E">
            <w:pPr>
              <w:autoSpaceDE w:val="0"/>
              <w:autoSpaceDN w:val="0"/>
              <w:adjustRightInd w:val="0"/>
              <w:rPr>
                <w:rFonts w:ascii="Comic Sans MS" w:hAnsi="Comic Sans MS" w:cs="Comic Sans MS"/>
                <w:color w:val="000000"/>
                <w:sz w:val="16"/>
                <w:szCs w:val="16"/>
                <w:lang w:bidi="ar-SA"/>
              </w:rPr>
            </w:pPr>
          </w:p>
        </w:tc>
        <w:tc>
          <w:tcPr>
            <w:tcW w:w="1721" w:type="dxa"/>
            <w:gridSpan w:val="2"/>
            <w:tcBorders>
              <w:top w:val="nil"/>
              <w:left w:val="nil"/>
              <w:bottom w:val="nil"/>
              <w:right w:val="nil"/>
            </w:tcBorders>
            <w:shd w:val="solid" w:color="808080" w:fill="auto"/>
          </w:tcPr>
          <w:p w:rsidR="00FD5C7E" w:rsidRDefault="00FD5C7E">
            <w:pPr>
              <w:autoSpaceDE w:val="0"/>
              <w:autoSpaceDN w:val="0"/>
              <w:adjustRightInd w:val="0"/>
              <w:jc w:val="right"/>
              <w:rPr>
                <w:rFonts w:ascii="Comic Sans MS" w:hAnsi="Comic Sans MS" w:cs="Comic Sans MS"/>
                <w:color w:val="000000"/>
                <w:sz w:val="16"/>
                <w:szCs w:val="16"/>
                <w:lang w:bidi="ar-SA"/>
              </w:rPr>
            </w:pPr>
          </w:p>
        </w:tc>
        <w:tc>
          <w:tcPr>
            <w:tcW w:w="90" w:type="dxa"/>
            <w:gridSpan w:val="2"/>
            <w:tcBorders>
              <w:top w:val="nil"/>
              <w:left w:val="nil"/>
              <w:bottom w:val="nil"/>
              <w:right w:val="nil"/>
            </w:tcBorders>
            <w:shd w:val="solid" w:color="808080" w:fill="auto"/>
          </w:tcPr>
          <w:p w:rsidR="00FD5C7E" w:rsidRDefault="00FD5C7E">
            <w:pPr>
              <w:autoSpaceDE w:val="0"/>
              <w:autoSpaceDN w:val="0"/>
              <w:adjustRightInd w:val="0"/>
              <w:jc w:val="right"/>
              <w:rPr>
                <w:rFonts w:ascii="Comic Sans MS" w:hAnsi="Comic Sans MS" w:cs="Comic Sans MS"/>
                <w:color w:val="000000"/>
                <w:sz w:val="16"/>
                <w:szCs w:val="16"/>
                <w:lang w:bidi="ar-SA"/>
              </w:rPr>
            </w:pPr>
          </w:p>
        </w:tc>
        <w:tc>
          <w:tcPr>
            <w:tcW w:w="765" w:type="dxa"/>
            <w:tcBorders>
              <w:top w:val="nil"/>
              <w:left w:val="nil"/>
              <w:bottom w:val="nil"/>
              <w:right w:val="nil"/>
            </w:tcBorders>
            <w:shd w:val="solid" w:color="808080" w:fill="auto"/>
          </w:tcPr>
          <w:p w:rsidR="00FD5C7E" w:rsidRDefault="00FD5C7E">
            <w:pPr>
              <w:autoSpaceDE w:val="0"/>
              <w:autoSpaceDN w:val="0"/>
              <w:adjustRightInd w:val="0"/>
              <w:jc w:val="right"/>
              <w:rPr>
                <w:rFonts w:ascii="Comic Sans MS" w:hAnsi="Comic Sans MS" w:cs="Comic Sans MS"/>
                <w:color w:val="000000"/>
                <w:sz w:val="16"/>
                <w:szCs w:val="16"/>
                <w:lang w:bidi="ar-SA"/>
              </w:rPr>
            </w:pPr>
          </w:p>
        </w:tc>
        <w:tc>
          <w:tcPr>
            <w:tcW w:w="2207" w:type="dxa"/>
            <w:tcBorders>
              <w:top w:val="nil"/>
              <w:left w:val="nil"/>
              <w:bottom w:val="nil"/>
              <w:right w:val="nil"/>
            </w:tcBorders>
            <w:shd w:val="solid" w:color="808080" w:fill="auto"/>
          </w:tcPr>
          <w:p w:rsidR="00FD5C7E" w:rsidRDefault="00FD5C7E">
            <w:pPr>
              <w:autoSpaceDE w:val="0"/>
              <w:autoSpaceDN w:val="0"/>
              <w:adjustRightInd w:val="0"/>
              <w:rPr>
                <w:rFonts w:ascii="Comic Sans MS" w:hAnsi="Comic Sans MS" w:cs="Comic Sans MS"/>
                <w:color w:val="000000"/>
                <w:sz w:val="16"/>
                <w:szCs w:val="16"/>
                <w:lang w:bidi="ar-SA"/>
              </w:rPr>
            </w:pPr>
          </w:p>
        </w:tc>
        <w:tc>
          <w:tcPr>
            <w:tcW w:w="1732" w:type="dxa"/>
            <w:tcBorders>
              <w:top w:val="nil"/>
              <w:left w:val="nil"/>
              <w:bottom w:val="nil"/>
              <w:right w:val="single" w:sz="6" w:space="0" w:color="auto"/>
            </w:tcBorders>
            <w:shd w:val="solid" w:color="808080" w:fill="auto"/>
          </w:tcPr>
          <w:p w:rsidR="00FD5C7E" w:rsidRDefault="00FD5C7E">
            <w:pPr>
              <w:autoSpaceDE w:val="0"/>
              <w:autoSpaceDN w:val="0"/>
              <w:adjustRightInd w:val="0"/>
              <w:rPr>
                <w:rFonts w:ascii="Comic Sans MS" w:hAnsi="Comic Sans MS" w:cs="Comic Sans MS"/>
                <w:color w:val="000000"/>
                <w:sz w:val="16"/>
                <w:szCs w:val="16"/>
                <w:lang w:bidi="ar-SA"/>
              </w:rPr>
            </w:pPr>
          </w:p>
        </w:tc>
      </w:tr>
      <w:tr w:rsidR="00FD5C7E" w:rsidTr="00FD5C7E">
        <w:tblPrEx>
          <w:tblCellMar>
            <w:top w:w="0" w:type="dxa"/>
            <w:bottom w:w="0" w:type="dxa"/>
          </w:tblCellMar>
        </w:tblPrEx>
        <w:trPr>
          <w:trHeight w:val="437"/>
        </w:trPr>
        <w:tc>
          <w:tcPr>
            <w:tcW w:w="739" w:type="dxa"/>
            <w:tcBorders>
              <w:top w:val="single" w:sz="6" w:space="0" w:color="auto"/>
              <w:left w:val="single" w:sz="6" w:space="0" w:color="auto"/>
              <w:bottom w:val="nil"/>
              <w:right w:val="nil"/>
            </w:tcBorders>
          </w:tcPr>
          <w:p w:rsidR="00FD5C7E" w:rsidRDefault="00FD5C7E">
            <w:pPr>
              <w:autoSpaceDE w:val="0"/>
              <w:autoSpaceDN w:val="0"/>
              <w:adjustRightInd w:val="0"/>
              <w:rPr>
                <w:rFonts w:ascii="Arial" w:hAnsi="Arial" w:cs="Arial"/>
                <w:i/>
                <w:iCs/>
                <w:color w:val="000000"/>
                <w:sz w:val="18"/>
                <w:szCs w:val="18"/>
                <w:lang w:bidi="ar-SA"/>
              </w:rPr>
            </w:pPr>
            <w:r>
              <w:rPr>
                <w:rFonts w:ascii="Arial" w:hAnsi="Arial" w:cs="Arial"/>
                <w:i/>
                <w:iCs/>
                <w:color w:val="000000"/>
                <w:sz w:val="18"/>
                <w:szCs w:val="18"/>
                <w:lang w:bidi="ar-SA"/>
              </w:rPr>
              <w:t>Titolo I:</w:t>
            </w:r>
          </w:p>
        </w:tc>
        <w:tc>
          <w:tcPr>
            <w:tcW w:w="2462" w:type="dxa"/>
            <w:tcBorders>
              <w:top w:val="single" w:sz="6" w:space="0" w:color="auto"/>
              <w:left w:val="nil"/>
              <w:bottom w:val="nil"/>
              <w:right w:val="nil"/>
            </w:tcBorders>
          </w:tcPr>
          <w:p w:rsidR="00FD5C7E" w:rsidRDefault="00FD5C7E">
            <w:pPr>
              <w:autoSpaceDE w:val="0"/>
              <w:autoSpaceDN w:val="0"/>
              <w:adjustRightInd w:val="0"/>
              <w:rPr>
                <w:rFonts w:ascii="Arial" w:hAnsi="Arial" w:cs="Arial"/>
                <w:color w:val="000000"/>
                <w:sz w:val="18"/>
                <w:szCs w:val="18"/>
                <w:lang w:bidi="ar-SA"/>
              </w:rPr>
            </w:pPr>
            <w:r>
              <w:rPr>
                <w:rFonts w:ascii="Arial" w:hAnsi="Arial" w:cs="Arial"/>
                <w:color w:val="000000"/>
                <w:sz w:val="18"/>
                <w:szCs w:val="18"/>
                <w:lang w:bidi="ar-SA"/>
              </w:rPr>
              <w:t xml:space="preserve">Entrate tributarie    </w:t>
            </w:r>
          </w:p>
        </w:tc>
        <w:tc>
          <w:tcPr>
            <w:tcW w:w="1721" w:type="dxa"/>
            <w:gridSpan w:val="2"/>
            <w:tcBorders>
              <w:top w:val="single" w:sz="6" w:space="0" w:color="auto"/>
              <w:left w:val="single" w:sz="6" w:space="0" w:color="auto"/>
              <w:bottom w:val="nil"/>
              <w:right w:val="nil"/>
            </w:tcBorders>
          </w:tcPr>
          <w:p w:rsidR="00FD5C7E" w:rsidRDefault="00FD5C7E">
            <w:pPr>
              <w:autoSpaceDE w:val="0"/>
              <w:autoSpaceDN w:val="0"/>
              <w:adjustRightInd w:val="0"/>
              <w:jc w:val="right"/>
              <w:rPr>
                <w:rFonts w:ascii="Arial" w:hAnsi="Arial" w:cs="Arial"/>
                <w:color w:val="000000"/>
                <w:sz w:val="16"/>
                <w:szCs w:val="16"/>
                <w:lang w:bidi="ar-SA"/>
              </w:rPr>
            </w:pPr>
          </w:p>
        </w:tc>
        <w:tc>
          <w:tcPr>
            <w:tcW w:w="90" w:type="dxa"/>
            <w:gridSpan w:val="2"/>
            <w:tcBorders>
              <w:top w:val="single" w:sz="6" w:space="0" w:color="auto"/>
              <w:left w:val="single" w:sz="6" w:space="0" w:color="auto"/>
              <w:bottom w:val="nil"/>
              <w:right w:val="nil"/>
            </w:tcBorders>
          </w:tcPr>
          <w:p w:rsidR="00FD5C7E" w:rsidRDefault="00FD5C7E">
            <w:pPr>
              <w:autoSpaceDE w:val="0"/>
              <w:autoSpaceDN w:val="0"/>
              <w:adjustRightInd w:val="0"/>
              <w:jc w:val="right"/>
              <w:rPr>
                <w:rFonts w:ascii="Arial" w:hAnsi="Arial" w:cs="Arial"/>
                <w:color w:val="000000"/>
                <w:sz w:val="16"/>
                <w:szCs w:val="16"/>
                <w:lang w:bidi="ar-SA"/>
              </w:rPr>
            </w:pPr>
          </w:p>
        </w:tc>
        <w:tc>
          <w:tcPr>
            <w:tcW w:w="765" w:type="dxa"/>
            <w:tcBorders>
              <w:top w:val="single" w:sz="6" w:space="0" w:color="auto"/>
              <w:left w:val="nil"/>
              <w:bottom w:val="nil"/>
              <w:right w:val="nil"/>
            </w:tcBorders>
          </w:tcPr>
          <w:p w:rsidR="00FD5C7E" w:rsidRDefault="00FD5C7E">
            <w:pPr>
              <w:autoSpaceDE w:val="0"/>
              <w:autoSpaceDN w:val="0"/>
              <w:adjustRightInd w:val="0"/>
              <w:rPr>
                <w:rFonts w:ascii="Arial" w:hAnsi="Arial" w:cs="Arial"/>
                <w:i/>
                <w:iCs/>
                <w:color w:val="000000"/>
                <w:sz w:val="18"/>
                <w:szCs w:val="18"/>
                <w:lang w:bidi="ar-SA"/>
              </w:rPr>
            </w:pPr>
            <w:r>
              <w:rPr>
                <w:rFonts w:ascii="Arial" w:hAnsi="Arial" w:cs="Arial"/>
                <w:i/>
                <w:iCs/>
                <w:color w:val="000000"/>
                <w:sz w:val="18"/>
                <w:szCs w:val="18"/>
                <w:lang w:bidi="ar-SA"/>
              </w:rPr>
              <w:t>Titolo I:</w:t>
            </w:r>
          </w:p>
        </w:tc>
        <w:tc>
          <w:tcPr>
            <w:tcW w:w="2207" w:type="dxa"/>
            <w:tcBorders>
              <w:top w:val="single" w:sz="6" w:space="0" w:color="auto"/>
              <w:left w:val="nil"/>
              <w:bottom w:val="nil"/>
              <w:right w:val="nil"/>
            </w:tcBorders>
          </w:tcPr>
          <w:p w:rsidR="00FD5C7E" w:rsidRDefault="00FD5C7E">
            <w:pPr>
              <w:autoSpaceDE w:val="0"/>
              <w:autoSpaceDN w:val="0"/>
              <w:adjustRightInd w:val="0"/>
              <w:rPr>
                <w:rFonts w:ascii="Arial" w:hAnsi="Arial" w:cs="Arial"/>
                <w:color w:val="000000"/>
                <w:sz w:val="18"/>
                <w:szCs w:val="18"/>
                <w:lang w:bidi="ar-SA"/>
              </w:rPr>
            </w:pPr>
            <w:r>
              <w:rPr>
                <w:rFonts w:ascii="Arial" w:hAnsi="Arial" w:cs="Arial"/>
                <w:color w:val="000000"/>
                <w:sz w:val="18"/>
                <w:szCs w:val="18"/>
                <w:lang w:bidi="ar-SA"/>
              </w:rPr>
              <w:t>Spese correnti</w:t>
            </w:r>
          </w:p>
        </w:tc>
        <w:tc>
          <w:tcPr>
            <w:tcW w:w="1732" w:type="dxa"/>
            <w:tcBorders>
              <w:top w:val="single" w:sz="6" w:space="0" w:color="auto"/>
              <w:left w:val="single" w:sz="6" w:space="0" w:color="auto"/>
              <w:bottom w:val="nil"/>
              <w:right w:val="single" w:sz="6" w:space="0" w:color="auto"/>
            </w:tcBorders>
          </w:tcPr>
          <w:p w:rsidR="00FD5C7E" w:rsidRDefault="00BC3C7B">
            <w:pPr>
              <w:autoSpaceDE w:val="0"/>
              <w:autoSpaceDN w:val="0"/>
              <w:adjustRightInd w:val="0"/>
              <w:jc w:val="right"/>
              <w:rPr>
                <w:rFonts w:ascii="Comic Sans MS" w:hAnsi="Comic Sans MS" w:cs="Comic Sans MS"/>
                <w:color w:val="000000"/>
                <w:sz w:val="16"/>
                <w:szCs w:val="16"/>
                <w:lang w:bidi="ar-SA"/>
              </w:rPr>
            </w:pPr>
            <w:r>
              <w:rPr>
                <w:rFonts w:ascii="Comic Sans MS" w:hAnsi="Comic Sans MS" w:cs="Comic Sans MS"/>
                <w:color w:val="000000"/>
                <w:sz w:val="16"/>
                <w:szCs w:val="16"/>
                <w:lang w:bidi="ar-SA"/>
              </w:rPr>
              <w:t>2.132.165,26</w:t>
            </w:r>
          </w:p>
        </w:tc>
      </w:tr>
      <w:tr w:rsidR="00FD5C7E" w:rsidTr="00FD5C7E">
        <w:tblPrEx>
          <w:tblCellMar>
            <w:top w:w="0" w:type="dxa"/>
            <w:bottom w:w="0" w:type="dxa"/>
          </w:tblCellMar>
        </w:tblPrEx>
        <w:trPr>
          <w:trHeight w:val="1219"/>
        </w:trPr>
        <w:tc>
          <w:tcPr>
            <w:tcW w:w="739" w:type="dxa"/>
            <w:tcBorders>
              <w:top w:val="nil"/>
              <w:left w:val="single" w:sz="6" w:space="0" w:color="auto"/>
              <w:bottom w:val="nil"/>
              <w:right w:val="nil"/>
            </w:tcBorders>
          </w:tcPr>
          <w:p w:rsidR="00FD5C7E" w:rsidRDefault="00FD5C7E">
            <w:pPr>
              <w:autoSpaceDE w:val="0"/>
              <w:autoSpaceDN w:val="0"/>
              <w:adjustRightInd w:val="0"/>
              <w:rPr>
                <w:rFonts w:ascii="Arial" w:hAnsi="Arial" w:cs="Arial"/>
                <w:i/>
                <w:iCs/>
                <w:color w:val="000000"/>
                <w:sz w:val="18"/>
                <w:szCs w:val="18"/>
                <w:lang w:bidi="ar-SA"/>
              </w:rPr>
            </w:pPr>
            <w:r>
              <w:rPr>
                <w:rFonts w:ascii="Arial" w:hAnsi="Arial" w:cs="Arial"/>
                <w:i/>
                <w:iCs/>
                <w:color w:val="000000"/>
                <w:sz w:val="18"/>
                <w:szCs w:val="18"/>
                <w:lang w:bidi="ar-SA"/>
              </w:rPr>
              <w:t>Titolo II:</w:t>
            </w:r>
          </w:p>
        </w:tc>
        <w:tc>
          <w:tcPr>
            <w:tcW w:w="2462" w:type="dxa"/>
            <w:tcBorders>
              <w:top w:val="nil"/>
              <w:left w:val="nil"/>
              <w:bottom w:val="nil"/>
              <w:right w:val="nil"/>
            </w:tcBorders>
          </w:tcPr>
          <w:p w:rsidR="00FD5C7E" w:rsidRDefault="00FD5C7E">
            <w:pPr>
              <w:autoSpaceDE w:val="0"/>
              <w:autoSpaceDN w:val="0"/>
              <w:adjustRightInd w:val="0"/>
              <w:rPr>
                <w:rFonts w:ascii="Arial" w:hAnsi="Arial" w:cs="Arial"/>
                <w:color w:val="000000"/>
                <w:sz w:val="18"/>
                <w:szCs w:val="18"/>
                <w:lang w:bidi="ar-SA"/>
              </w:rPr>
            </w:pPr>
            <w:r>
              <w:rPr>
                <w:rFonts w:ascii="Arial" w:hAnsi="Arial" w:cs="Arial"/>
                <w:color w:val="000000"/>
                <w:sz w:val="18"/>
                <w:szCs w:val="18"/>
                <w:lang w:bidi="ar-SA"/>
              </w:rPr>
              <w:t xml:space="preserve">Entrate da contributi e trasferimenti correnti dello Stato, della Regione e di altri enti pubblici </w:t>
            </w:r>
          </w:p>
        </w:tc>
        <w:tc>
          <w:tcPr>
            <w:tcW w:w="1721" w:type="dxa"/>
            <w:gridSpan w:val="2"/>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color w:val="000000"/>
                <w:sz w:val="16"/>
                <w:szCs w:val="16"/>
                <w:lang w:bidi="ar-SA"/>
              </w:rPr>
            </w:pPr>
            <w:r>
              <w:rPr>
                <w:rFonts w:ascii="Arial" w:hAnsi="Arial" w:cs="Arial"/>
                <w:color w:val="000000"/>
                <w:sz w:val="16"/>
                <w:szCs w:val="16"/>
                <w:lang w:bidi="ar-SA"/>
              </w:rPr>
              <w:t>1.</w:t>
            </w:r>
            <w:r w:rsidR="003D0AC7">
              <w:rPr>
                <w:rFonts w:ascii="Arial" w:hAnsi="Arial" w:cs="Arial"/>
                <w:color w:val="000000"/>
                <w:sz w:val="16"/>
                <w:szCs w:val="16"/>
                <w:lang w:bidi="ar-SA"/>
              </w:rPr>
              <w:t>678</w:t>
            </w:r>
            <w:r w:rsidR="00BC3C7B">
              <w:rPr>
                <w:rFonts w:ascii="Arial" w:hAnsi="Arial" w:cs="Arial"/>
                <w:color w:val="000000"/>
                <w:sz w:val="16"/>
                <w:szCs w:val="16"/>
                <w:lang w:bidi="ar-SA"/>
              </w:rPr>
              <w:t>.231,27</w:t>
            </w:r>
          </w:p>
        </w:tc>
        <w:tc>
          <w:tcPr>
            <w:tcW w:w="90" w:type="dxa"/>
            <w:gridSpan w:val="2"/>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color w:val="000000"/>
                <w:sz w:val="16"/>
                <w:szCs w:val="16"/>
                <w:lang w:bidi="ar-SA"/>
              </w:rPr>
            </w:pPr>
          </w:p>
        </w:tc>
        <w:tc>
          <w:tcPr>
            <w:tcW w:w="765" w:type="dxa"/>
            <w:tcBorders>
              <w:top w:val="nil"/>
              <w:left w:val="nil"/>
              <w:bottom w:val="nil"/>
              <w:right w:val="nil"/>
            </w:tcBorders>
          </w:tcPr>
          <w:p w:rsidR="00FD5C7E" w:rsidRDefault="00FD5C7E">
            <w:pPr>
              <w:autoSpaceDE w:val="0"/>
              <w:autoSpaceDN w:val="0"/>
              <w:adjustRightInd w:val="0"/>
              <w:rPr>
                <w:rFonts w:ascii="Arial" w:hAnsi="Arial" w:cs="Arial"/>
                <w:i/>
                <w:iCs/>
                <w:color w:val="000000"/>
                <w:sz w:val="18"/>
                <w:szCs w:val="18"/>
                <w:lang w:bidi="ar-SA"/>
              </w:rPr>
            </w:pPr>
            <w:r>
              <w:rPr>
                <w:rFonts w:ascii="Arial" w:hAnsi="Arial" w:cs="Arial"/>
                <w:i/>
                <w:iCs/>
                <w:color w:val="000000"/>
                <w:sz w:val="18"/>
                <w:szCs w:val="18"/>
                <w:lang w:bidi="ar-SA"/>
              </w:rPr>
              <w:t>Titolo II:</w:t>
            </w:r>
          </w:p>
        </w:tc>
        <w:tc>
          <w:tcPr>
            <w:tcW w:w="2207" w:type="dxa"/>
            <w:tcBorders>
              <w:top w:val="nil"/>
              <w:left w:val="nil"/>
              <w:bottom w:val="nil"/>
              <w:right w:val="nil"/>
            </w:tcBorders>
          </w:tcPr>
          <w:p w:rsidR="00FD5C7E" w:rsidRDefault="00FD5C7E">
            <w:pPr>
              <w:autoSpaceDE w:val="0"/>
              <w:autoSpaceDN w:val="0"/>
              <w:adjustRightInd w:val="0"/>
              <w:rPr>
                <w:rFonts w:ascii="Arial" w:hAnsi="Arial" w:cs="Arial"/>
                <w:color w:val="000000"/>
                <w:sz w:val="18"/>
                <w:szCs w:val="18"/>
                <w:lang w:bidi="ar-SA"/>
              </w:rPr>
            </w:pPr>
            <w:r>
              <w:rPr>
                <w:rFonts w:ascii="Arial" w:hAnsi="Arial" w:cs="Arial"/>
                <w:color w:val="000000"/>
                <w:sz w:val="18"/>
                <w:szCs w:val="18"/>
                <w:lang w:bidi="ar-SA"/>
              </w:rPr>
              <w:t>Spese in conto capitale</w:t>
            </w:r>
          </w:p>
        </w:tc>
        <w:tc>
          <w:tcPr>
            <w:tcW w:w="1732" w:type="dxa"/>
            <w:tcBorders>
              <w:top w:val="nil"/>
              <w:left w:val="single" w:sz="6" w:space="0" w:color="auto"/>
              <w:bottom w:val="nil"/>
              <w:right w:val="single" w:sz="6" w:space="0" w:color="auto"/>
            </w:tcBorders>
          </w:tcPr>
          <w:p w:rsidR="00FD5C7E" w:rsidRDefault="00BC3C7B">
            <w:pPr>
              <w:autoSpaceDE w:val="0"/>
              <w:autoSpaceDN w:val="0"/>
              <w:adjustRightInd w:val="0"/>
              <w:jc w:val="right"/>
              <w:rPr>
                <w:rFonts w:ascii="Comic Sans MS" w:hAnsi="Comic Sans MS" w:cs="Comic Sans MS"/>
                <w:color w:val="000000"/>
                <w:sz w:val="16"/>
                <w:szCs w:val="16"/>
                <w:lang w:bidi="ar-SA"/>
              </w:rPr>
            </w:pPr>
            <w:r>
              <w:rPr>
                <w:rFonts w:ascii="Comic Sans MS" w:hAnsi="Comic Sans MS" w:cs="Comic Sans MS"/>
                <w:color w:val="000000"/>
                <w:sz w:val="16"/>
                <w:szCs w:val="16"/>
                <w:lang w:bidi="ar-SA"/>
              </w:rPr>
              <w:t>430</w:t>
            </w:r>
            <w:r w:rsidR="00FD5C7E">
              <w:rPr>
                <w:rFonts w:ascii="Comic Sans MS" w:hAnsi="Comic Sans MS" w:cs="Comic Sans MS"/>
                <w:color w:val="000000"/>
                <w:sz w:val="16"/>
                <w:szCs w:val="16"/>
                <w:lang w:bidi="ar-SA"/>
              </w:rPr>
              <w:t>.000,00</w:t>
            </w:r>
          </w:p>
        </w:tc>
      </w:tr>
      <w:tr w:rsidR="00FD5C7E" w:rsidTr="00FD5C7E">
        <w:tblPrEx>
          <w:tblCellMar>
            <w:top w:w="0" w:type="dxa"/>
            <w:bottom w:w="0" w:type="dxa"/>
          </w:tblCellMar>
        </w:tblPrEx>
        <w:trPr>
          <w:trHeight w:val="422"/>
        </w:trPr>
        <w:tc>
          <w:tcPr>
            <w:tcW w:w="739" w:type="dxa"/>
            <w:tcBorders>
              <w:top w:val="nil"/>
              <w:left w:val="single" w:sz="6" w:space="0" w:color="auto"/>
              <w:bottom w:val="nil"/>
              <w:right w:val="nil"/>
            </w:tcBorders>
          </w:tcPr>
          <w:p w:rsidR="00FD5C7E" w:rsidRDefault="00FD5C7E">
            <w:pPr>
              <w:autoSpaceDE w:val="0"/>
              <w:autoSpaceDN w:val="0"/>
              <w:adjustRightInd w:val="0"/>
              <w:rPr>
                <w:rFonts w:ascii="Arial" w:hAnsi="Arial" w:cs="Arial"/>
                <w:i/>
                <w:iCs/>
                <w:color w:val="000000"/>
                <w:sz w:val="18"/>
                <w:szCs w:val="18"/>
                <w:lang w:bidi="ar-SA"/>
              </w:rPr>
            </w:pPr>
            <w:r>
              <w:rPr>
                <w:rFonts w:ascii="Arial" w:hAnsi="Arial" w:cs="Arial"/>
                <w:i/>
                <w:iCs/>
                <w:color w:val="000000"/>
                <w:sz w:val="18"/>
                <w:szCs w:val="18"/>
                <w:lang w:bidi="ar-SA"/>
              </w:rPr>
              <w:t>Titolo III:</w:t>
            </w:r>
          </w:p>
        </w:tc>
        <w:tc>
          <w:tcPr>
            <w:tcW w:w="2462" w:type="dxa"/>
            <w:tcBorders>
              <w:top w:val="nil"/>
              <w:left w:val="nil"/>
              <w:bottom w:val="nil"/>
              <w:right w:val="nil"/>
            </w:tcBorders>
          </w:tcPr>
          <w:p w:rsidR="00FD5C7E" w:rsidRDefault="00FD5C7E">
            <w:pPr>
              <w:autoSpaceDE w:val="0"/>
              <w:autoSpaceDN w:val="0"/>
              <w:adjustRightInd w:val="0"/>
              <w:rPr>
                <w:rFonts w:ascii="Arial" w:hAnsi="Arial" w:cs="Arial"/>
                <w:color w:val="000000"/>
                <w:sz w:val="18"/>
                <w:szCs w:val="18"/>
                <w:lang w:bidi="ar-SA"/>
              </w:rPr>
            </w:pPr>
            <w:r>
              <w:rPr>
                <w:rFonts w:ascii="Arial" w:hAnsi="Arial" w:cs="Arial"/>
                <w:color w:val="000000"/>
                <w:sz w:val="18"/>
                <w:szCs w:val="18"/>
                <w:lang w:bidi="ar-SA"/>
              </w:rPr>
              <w:t>Entrate extratributarie</w:t>
            </w:r>
          </w:p>
        </w:tc>
        <w:tc>
          <w:tcPr>
            <w:tcW w:w="1721" w:type="dxa"/>
            <w:gridSpan w:val="2"/>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color w:val="000000"/>
                <w:sz w:val="16"/>
                <w:szCs w:val="16"/>
                <w:lang w:bidi="ar-SA"/>
              </w:rPr>
            </w:pPr>
            <w:r>
              <w:rPr>
                <w:rFonts w:ascii="Arial" w:hAnsi="Arial" w:cs="Arial"/>
                <w:color w:val="000000"/>
                <w:sz w:val="16"/>
                <w:szCs w:val="16"/>
                <w:lang w:bidi="ar-SA"/>
              </w:rPr>
              <w:t>601.000,00</w:t>
            </w:r>
          </w:p>
        </w:tc>
        <w:tc>
          <w:tcPr>
            <w:tcW w:w="90" w:type="dxa"/>
            <w:gridSpan w:val="2"/>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color w:val="000000"/>
                <w:sz w:val="16"/>
                <w:szCs w:val="16"/>
                <w:lang w:bidi="ar-SA"/>
              </w:rPr>
            </w:pPr>
          </w:p>
        </w:tc>
        <w:tc>
          <w:tcPr>
            <w:tcW w:w="765" w:type="dxa"/>
            <w:tcBorders>
              <w:top w:val="nil"/>
              <w:left w:val="nil"/>
              <w:bottom w:val="nil"/>
              <w:right w:val="nil"/>
            </w:tcBorders>
          </w:tcPr>
          <w:p w:rsidR="00FD5C7E" w:rsidRDefault="00FD5C7E">
            <w:pPr>
              <w:autoSpaceDE w:val="0"/>
              <w:autoSpaceDN w:val="0"/>
              <w:adjustRightInd w:val="0"/>
              <w:jc w:val="right"/>
              <w:rPr>
                <w:rFonts w:ascii="Arial" w:hAnsi="Arial" w:cs="Arial"/>
                <w:i/>
                <w:iCs/>
                <w:color w:val="000000"/>
                <w:sz w:val="18"/>
                <w:szCs w:val="18"/>
                <w:lang w:bidi="ar-SA"/>
              </w:rPr>
            </w:pPr>
          </w:p>
        </w:tc>
        <w:tc>
          <w:tcPr>
            <w:tcW w:w="2207" w:type="dxa"/>
            <w:tcBorders>
              <w:top w:val="nil"/>
              <w:left w:val="nil"/>
              <w:bottom w:val="nil"/>
              <w:right w:val="nil"/>
            </w:tcBorders>
          </w:tcPr>
          <w:p w:rsidR="00FD5C7E" w:rsidRDefault="00FD5C7E">
            <w:pPr>
              <w:autoSpaceDE w:val="0"/>
              <w:autoSpaceDN w:val="0"/>
              <w:adjustRightInd w:val="0"/>
              <w:rPr>
                <w:rFonts w:ascii="Arial" w:hAnsi="Arial" w:cs="Arial"/>
                <w:color w:val="000000"/>
                <w:sz w:val="18"/>
                <w:szCs w:val="18"/>
                <w:lang w:bidi="ar-SA"/>
              </w:rPr>
            </w:pPr>
          </w:p>
        </w:tc>
        <w:tc>
          <w:tcPr>
            <w:tcW w:w="1732" w:type="dxa"/>
            <w:tcBorders>
              <w:top w:val="nil"/>
              <w:left w:val="single" w:sz="6" w:space="0" w:color="auto"/>
              <w:bottom w:val="nil"/>
              <w:right w:val="single" w:sz="6" w:space="0" w:color="auto"/>
            </w:tcBorders>
          </w:tcPr>
          <w:p w:rsidR="00FD5C7E" w:rsidRDefault="00FD5C7E">
            <w:pPr>
              <w:autoSpaceDE w:val="0"/>
              <w:autoSpaceDN w:val="0"/>
              <w:adjustRightInd w:val="0"/>
              <w:jc w:val="right"/>
              <w:rPr>
                <w:rFonts w:ascii="Comic Sans MS" w:hAnsi="Comic Sans MS" w:cs="Comic Sans MS"/>
                <w:color w:val="000000"/>
                <w:sz w:val="16"/>
                <w:szCs w:val="16"/>
                <w:lang w:bidi="ar-SA"/>
              </w:rPr>
            </w:pPr>
          </w:p>
        </w:tc>
      </w:tr>
      <w:tr w:rsidR="00FD5C7E" w:rsidTr="00FD5C7E">
        <w:tblPrEx>
          <w:tblCellMar>
            <w:top w:w="0" w:type="dxa"/>
            <w:bottom w:w="0" w:type="dxa"/>
          </w:tblCellMar>
        </w:tblPrEx>
        <w:trPr>
          <w:trHeight w:val="998"/>
        </w:trPr>
        <w:tc>
          <w:tcPr>
            <w:tcW w:w="739" w:type="dxa"/>
            <w:tcBorders>
              <w:top w:val="nil"/>
              <w:left w:val="single" w:sz="6" w:space="0" w:color="auto"/>
              <w:bottom w:val="nil"/>
              <w:right w:val="nil"/>
            </w:tcBorders>
          </w:tcPr>
          <w:p w:rsidR="00FD5C7E" w:rsidRDefault="00FD5C7E">
            <w:pPr>
              <w:autoSpaceDE w:val="0"/>
              <w:autoSpaceDN w:val="0"/>
              <w:adjustRightInd w:val="0"/>
              <w:rPr>
                <w:rFonts w:ascii="Arial" w:hAnsi="Arial" w:cs="Arial"/>
                <w:i/>
                <w:iCs/>
                <w:color w:val="000000"/>
                <w:sz w:val="18"/>
                <w:szCs w:val="18"/>
                <w:lang w:bidi="ar-SA"/>
              </w:rPr>
            </w:pPr>
            <w:r>
              <w:rPr>
                <w:rFonts w:ascii="Arial" w:hAnsi="Arial" w:cs="Arial"/>
                <w:i/>
                <w:iCs/>
                <w:color w:val="000000"/>
                <w:sz w:val="18"/>
                <w:szCs w:val="18"/>
                <w:lang w:bidi="ar-SA"/>
              </w:rPr>
              <w:t>Titolo IV:</w:t>
            </w:r>
          </w:p>
        </w:tc>
        <w:tc>
          <w:tcPr>
            <w:tcW w:w="2462" w:type="dxa"/>
            <w:tcBorders>
              <w:top w:val="nil"/>
              <w:left w:val="nil"/>
              <w:bottom w:val="nil"/>
              <w:right w:val="nil"/>
            </w:tcBorders>
          </w:tcPr>
          <w:p w:rsidR="00FD5C7E" w:rsidRDefault="00FD5C7E">
            <w:pPr>
              <w:autoSpaceDE w:val="0"/>
              <w:autoSpaceDN w:val="0"/>
              <w:adjustRightInd w:val="0"/>
              <w:rPr>
                <w:rFonts w:ascii="Arial" w:hAnsi="Arial" w:cs="Arial"/>
                <w:color w:val="000000"/>
                <w:sz w:val="18"/>
                <w:szCs w:val="18"/>
                <w:lang w:bidi="ar-SA"/>
              </w:rPr>
            </w:pPr>
            <w:r>
              <w:rPr>
                <w:rFonts w:ascii="Arial" w:hAnsi="Arial" w:cs="Arial"/>
                <w:color w:val="000000"/>
                <w:sz w:val="18"/>
                <w:szCs w:val="18"/>
                <w:lang w:bidi="ar-SA"/>
              </w:rPr>
              <w:t>Entrate da alienazioni, da trasferimenti di capitale e da riscossioni di crediti</w:t>
            </w:r>
          </w:p>
        </w:tc>
        <w:tc>
          <w:tcPr>
            <w:tcW w:w="1721" w:type="dxa"/>
            <w:gridSpan w:val="2"/>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color w:val="000000"/>
                <w:sz w:val="16"/>
                <w:szCs w:val="16"/>
                <w:lang w:bidi="ar-SA"/>
              </w:rPr>
            </w:pPr>
            <w:r>
              <w:rPr>
                <w:rFonts w:ascii="Arial" w:hAnsi="Arial" w:cs="Arial"/>
                <w:color w:val="000000"/>
                <w:sz w:val="16"/>
                <w:szCs w:val="16"/>
                <w:lang w:bidi="ar-SA"/>
              </w:rPr>
              <w:t>300.000,00</w:t>
            </w:r>
          </w:p>
        </w:tc>
        <w:tc>
          <w:tcPr>
            <w:tcW w:w="90" w:type="dxa"/>
            <w:gridSpan w:val="2"/>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color w:val="000000"/>
                <w:sz w:val="16"/>
                <w:szCs w:val="16"/>
                <w:lang w:bidi="ar-SA"/>
              </w:rPr>
            </w:pPr>
          </w:p>
        </w:tc>
        <w:tc>
          <w:tcPr>
            <w:tcW w:w="765" w:type="dxa"/>
            <w:tcBorders>
              <w:top w:val="nil"/>
              <w:left w:val="nil"/>
              <w:bottom w:val="nil"/>
              <w:right w:val="nil"/>
            </w:tcBorders>
          </w:tcPr>
          <w:p w:rsidR="00FD5C7E" w:rsidRDefault="00FD5C7E">
            <w:pPr>
              <w:autoSpaceDE w:val="0"/>
              <w:autoSpaceDN w:val="0"/>
              <w:adjustRightInd w:val="0"/>
              <w:jc w:val="right"/>
              <w:rPr>
                <w:rFonts w:ascii="Arial" w:hAnsi="Arial" w:cs="Arial"/>
                <w:i/>
                <w:iCs/>
                <w:color w:val="000000"/>
                <w:sz w:val="18"/>
                <w:szCs w:val="18"/>
                <w:lang w:bidi="ar-SA"/>
              </w:rPr>
            </w:pPr>
          </w:p>
        </w:tc>
        <w:tc>
          <w:tcPr>
            <w:tcW w:w="2207" w:type="dxa"/>
            <w:tcBorders>
              <w:top w:val="nil"/>
              <w:left w:val="nil"/>
              <w:bottom w:val="nil"/>
              <w:right w:val="nil"/>
            </w:tcBorders>
          </w:tcPr>
          <w:p w:rsidR="00FD5C7E" w:rsidRDefault="00FD5C7E">
            <w:pPr>
              <w:autoSpaceDE w:val="0"/>
              <w:autoSpaceDN w:val="0"/>
              <w:adjustRightInd w:val="0"/>
              <w:rPr>
                <w:rFonts w:ascii="Arial" w:hAnsi="Arial" w:cs="Arial"/>
                <w:color w:val="000000"/>
                <w:sz w:val="18"/>
                <w:szCs w:val="18"/>
                <w:lang w:bidi="ar-SA"/>
              </w:rPr>
            </w:pPr>
          </w:p>
        </w:tc>
        <w:tc>
          <w:tcPr>
            <w:tcW w:w="1732" w:type="dxa"/>
            <w:tcBorders>
              <w:top w:val="nil"/>
              <w:left w:val="single" w:sz="6" w:space="0" w:color="auto"/>
              <w:bottom w:val="nil"/>
              <w:right w:val="single" w:sz="6" w:space="0" w:color="auto"/>
            </w:tcBorders>
          </w:tcPr>
          <w:p w:rsidR="00FD5C7E" w:rsidRDefault="00FD5C7E">
            <w:pPr>
              <w:autoSpaceDE w:val="0"/>
              <w:autoSpaceDN w:val="0"/>
              <w:adjustRightInd w:val="0"/>
              <w:jc w:val="right"/>
              <w:rPr>
                <w:rFonts w:ascii="Comic Sans MS" w:hAnsi="Comic Sans MS" w:cs="Comic Sans MS"/>
                <w:color w:val="000000"/>
                <w:sz w:val="16"/>
                <w:szCs w:val="16"/>
                <w:lang w:bidi="ar-SA"/>
              </w:rPr>
            </w:pPr>
          </w:p>
        </w:tc>
      </w:tr>
      <w:tr w:rsidR="00FD5C7E" w:rsidTr="00FD5C7E">
        <w:tblPrEx>
          <w:tblCellMar>
            <w:top w:w="0" w:type="dxa"/>
            <w:bottom w:w="0" w:type="dxa"/>
          </w:tblCellMar>
        </w:tblPrEx>
        <w:trPr>
          <w:trHeight w:val="629"/>
        </w:trPr>
        <w:tc>
          <w:tcPr>
            <w:tcW w:w="739" w:type="dxa"/>
            <w:tcBorders>
              <w:top w:val="nil"/>
              <w:left w:val="single" w:sz="6" w:space="0" w:color="auto"/>
              <w:bottom w:val="nil"/>
              <w:right w:val="nil"/>
            </w:tcBorders>
          </w:tcPr>
          <w:p w:rsidR="00FD5C7E" w:rsidRDefault="00FD5C7E">
            <w:pPr>
              <w:autoSpaceDE w:val="0"/>
              <w:autoSpaceDN w:val="0"/>
              <w:adjustRightInd w:val="0"/>
              <w:rPr>
                <w:rFonts w:ascii="Arial" w:hAnsi="Arial" w:cs="Arial"/>
                <w:i/>
                <w:iCs/>
                <w:color w:val="000000"/>
                <w:sz w:val="18"/>
                <w:szCs w:val="18"/>
                <w:lang w:bidi="ar-SA"/>
              </w:rPr>
            </w:pPr>
            <w:r>
              <w:rPr>
                <w:rFonts w:ascii="Arial" w:hAnsi="Arial" w:cs="Arial"/>
                <w:i/>
                <w:iCs/>
                <w:color w:val="000000"/>
                <w:sz w:val="18"/>
                <w:szCs w:val="18"/>
                <w:lang w:bidi="ar-SA"/>
              </w:rPr>
              <w:t>Titolo V:</w:t>
            </w:r>
          </w:p>
        </w:tc>
        <w:tc>
          <w:tcPr>
            <w:tcW w:w="2462" w:type="dxa"/>
            <w:tcBorders>
              <w:top w:val="nil"/>
              <w:left w:val="nil"/>
              <w:bottom w:val="nil"/>
              <w:right w:val="nil"/>
            </w:tcBorders>
          </w:tcPr>
          <w:p w:rsidR="00FD5C7E" w:rsidRDefault="00FD5C7E">
            <w:pPr>
              <w:autoSpaceDE w:val="0"/>
              <w:autoSpaceDN w:val="0"/>
              <w:adjustRightInd w:val="0"/>
              <w:rPr>
                <w:rFonts w:ascii="Arial" w:hAnsi="Arial" w:cs="Arial"/>
                <w:color w:val="000000"/>
                <w:sz w:val="18"/>
                <w:szCs w:val="18"/>
                <w:lang w:bidi="ar-SA"/>
              </w:rPr>
            </w:pPr>
            <w:r>
              <w:rPr>
                <w:rFonts w:ascii="Arial" w:hAnsi="Arial" w:cs="Arial"/>
                <w:color w:val="000000"/>
                <w:sz w:val="18"/>
                <w:szCs w:val="18"/>
                <w:lang w:bidi="ar-SA"/>
              </w:rPr>
              <w:t>Entrate derivanti da accensioni di prestiti</w:t>
            </w:r>
          </w:p>
        </w:tc>
        <w:tc>
          <w:tcPr>
            <w:tcW w:w="1721" w:type="dxa"/>
            <w:gridSpan w:val="2"/>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color w:val="000000"/>
                <w:sz w:val="16"/>
                <w:szCs w:val="16"/>
                <w:lang w:bidi="ar-SA"/>
              </w:rPr>
            </w:pPr>
            <w:r>
              <w:rPr>
                <w:rFonts w:ascii="Arial" w:hAnsi="Arial" w:cs="Arial"/>
                <w:color w:val="000000"/>
                <w:sz w:val="16"/>
                <w:szCs w:val="16"/>
                <w:lang w:bidi="ar-SA"/>
              </w:rPr>
              <w:t>629.126,79</w:t>
            </w:r>
          </w:p>
        </w:tc>
        <w:tc>
          <w:tcPr>
            <w:tcW w:w="90" w:type="dxa"/>
            <w:gridSpan w:val="2"/>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color w:val="000000"/>
                <w:sz w:val="16"/>
                <w:szCs w:val="16"/>
                <w:lang w:bidi="ar-SA"/>
              </w:rPr>
            </w:pPr>
          </w:p>
        </w:tc>
        <w:tc>
          <w:tcPr>
            <w:tcW w:w="765" w:type="dxa"/>
            <w:tcBorders>
              <w:top w:val="nil"/>
              <w:left w:val="nil"/>
              <w:bottom w:val="nil"/>
              <w:right w:val="nil"/>
            </w:tcBorders>
          </w:tcPr>
          <w:p w:rsidR="00FD5C7E" w:rsidRDefault="00FD5C7E">
            <w:pPr>
              <w:autoSpaceDE w:val="0"/>
              <w:autoSpaceDN w:val="0"/>
              <w:adjustRightInd w:val="0"/>
              <w:rPr>
                <w:rFonts w:ascii="Arial" w:hAnsi="Arial" w:cs="Arial"/>
                <w:i/>
                <w:iCs/>
                <w:color w:val="000000"/>
                <w:sz w:val="18"/>
                <w:szCs w:val="18"/>
                <w:lang w:bidi="ar-SA"/>
              </w:rPr>
            </w:pPr>
            <w:r>
              <w:rPr>
                <w:rFonts w:ascii="Arial" w:hAnsi="Arial" w:cs="Arial"/>
                <w:i/>
                <w:iCs/>
                <w:color w:val="000000"/>
                <w:sz w:val="18"/>
                <w:szCs w:val="18"/>
                <w:lang w:bidi="ar-SA"/>
              </w:rPr>
              <w:t>Titolo III:</w:t>
            </w:r>
          </w:p>
        </w:tc>
        <w:tc>
          <w:tcPr>
            <w:tcW w:w="2207" w:type="dxa"/>
            <w:tcBorders>
              <w:top w:val="nil"/>
              <w:left w:val="nil"/>
              <w:bottom w:val="nil"/>
              <w:right w:val="nil"/>
            </w:tcBorders>
          </w:tcPr>
          <w:p w:rsidR="00FD5C7E" w:rsidRDefault="00FD5C7E">
            <w:pPr>
              <w:autoSpaceDE w:val="0"/>
              <w:autoSpaceDN w:val="0"/>
              <w:adjustRightInd w:val="0"/>
              <w:rPr>
                <w:rFonts w:ascii="Arial" w:hAnsi="Arial" w:cs="Arial"/>
                <w:color w:val="000000"/>
                <w:sz w:val="18"/>
                <w:szCs w:val="18"/>
                <w:lang w:bidi="ar-SA"/>
              </w:rPr>
            </w:pPr>
            <w:r>
              <w:rPr>
                <w:rFonts w:ascii="Arial" w:hAnsi="Arial" w:cs="Arial"/>
                <w:color w:val="000000"/>
                <w:sz w:val="18"/>
                <w:szCs w:val="18"/>
                <w:lang w:bidi="ar-SA"/>
              </w:rPr>
              <w:t>Spese per rimborso di prestiti</w:t>
            </w:r>
          </w:p>
        </w:tc>
        <w:tc>
          <w:tcPr>
            <w:tcW w:w="1732" w:type="dxa"/>
            <w:tcBorders>
              <w:top w:val="nil"/>
              <w:left w:val="single" w:sz="6" w:space="0" w:color="auto"/>
              <w:bottom w:val="nil"/>
              <w:right w:val="single" w:sz="6" w:space="0" w:color="auto"/>
            </w:tcBorders>
          </w:tcPr>
          <w:p w:rsidR="00FD5C7E" w:rsidRDefault="00FD5C7E">
            <w:pPr>
              <w:autoSpaceDE w:val="0"/>
              <w:autoSpaceDN w:val="0"/>
              <w:adjustRightInd w:val="0"/>
              <w:jc w:val="right"/>
              <w:rPr>
                <w:rFonts w:ascii="Comic Sans MS" w:hAnsi="Comic Sans MS" w:cs="Comic Sans MS"/>
                <w:color w:val="000000"/>
                <w:sz w:val="16"/>
                <w:szCs w:val="16"/>
                <w:lang w:bidi="ar-SA"/>
              </w:rPr>
            </w:pPr>
            <w:r>
              <w:rPr>
                <w:rFonts w:ascii="Comic Sans MS" w:hAnsi="Comic Sans MS" w:cs="Comic Sans MS"/>
                <w:color w:val="000000"/>
                <w:sz w:val="16"/>
                <w:szCs w:val="16"/>
                <w:lang w:bidi="ar-SA"/>
              </w:rPr>
              <w:t>646.192,80</w:t>
            </w:r>
          </w:p>
        </w:tc>
      </w:tr>
      <w:tr w:rsidR="00FD5C7E" w:rsidTr="00FD5C7E">
        <w:tblPrEx>
          <w:tblCellMar>
            <w:top w:w="0" w:type="dxa"/>
            <w:bottom w:w="0" w:type="dxa"/>
          </w:tblCellMar>
        </w:tblPrEx>
        <w:trPr>
          <w:trHeight w:val="514"/>
        </w:trPr>
        <w:tc>
          <w:tcPr>
            <w:tcW w:w="739" w:type="dxa"/>
            <w:tcBorders>
              <w:top w:val="nil"/>
              <w:left w:val="single" w:sz="6" w:space="0" w:color="auto"/>
              <w:bottom w:val="nil"/>
              <w:right w:val="nil"/>
            </w:tcBorders>
          </w:tcPr>
          <w:p w:rsidR="00FD5C7E" w:rsidRDefault="00FD5C7E">
            <w:pPr>
              <w:autoSpaceDE w:val="0"/>
              <w:autoSpaceDN w:val="0"/>
              <w:adjustRightInd w:val="0"/>
              <w:rPr>
                <w:rFonts w:ascii="Arial" w:hAnsi="Arial" w:cs="Arial"/>
                <w:i/>
                <w:iCs/>
                <w:color w:val="000000"/>
                <w:sz w:val="18"/>
                <w:szCs w:val="18"/>
                <w:lang w:bidi="ar-SA"/>
              </w:rPr>
            </w:pPr>
            <w:r>
              <w:rPr>
                <w:rFonts w:ascii="Arial" w:hAnsi="Arial" w:cs="Arial"/>
                <w:i/>
                <w:iCs/>
                <w:color w:val="000000"/>
                <w:sz w:val="18"/>
                <w:szCs w:val="18"/>
                <w:lang w:bidi="ar-SA"/>
              </w:rPr>
              <w:t>Titolo VI:</w:t>
            </w:r>
          </w:p>
        </w:tc>
        <w:tc>
          <w:tcPr>
            <w:tcW w:w="2462" w:type="dxa"/>
            <w:tcBorders>
              <w:top w:val="nil"/>
              <w:left w:val="nil"/>
              <w:bottom w:val="nil"/>
              <w:right w:val="nil"/>
            </w:tcBorders>
          </w:tcPr>
          <w:p w:rsidR="00FD5C7E" w:rsidRDefault="00FD5C7E">
            <w:pPr>
              <w:autoSpaceDE w:val="0"/>
              <w:autoSpaceDN w:val="0"/>
              <w:adjustRightInd w:val="0"/>
              <w:rPr>
                <w:rFonts w:ascii="Arial" w:hAnsi="Arial" w:cs="Arial"/>
                <w:color w:val="000000"/>
                <w:sz w:val="18"/>
                <w:szCs w:val="18"/>
                <w:lang w:bidi="ar-SA"/>
              </w:rPr>
            </w:pPr>
            <w:r>
              <w:rPr>
                <w:rFonts w:ascii="Arial" w:hAnsi="Arial" w:cs="Arial"/>
                <w:color w:val="000000"/>
                <w:sz w:val="18"/>
                <w:szCs w:val="18"/>
                <w:lang w:bidi="ar-SA"/>
              </w:rPr>
              <w:t>Entrate da servizi per conto di terzi</w:t>
            </w:r>
          </w:p>
        </w:tc>
        <w:tc>
          <w:tcPr>
            <w:tcW w:w="1721" w:type="dxa"/>
            <w:gridSpan w:val="2"/>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color w:val="000000"/>
                <w:sz w:val="16"/>
                <w:szCs w:val="16"/>
                <w:lang w:bidi="ar-SA"/>
              </w:rPr>
            </w:pPr>
            <w:r>
              <w:rPr>
                <w:rFonts w:ascii="Arial" w:hAnsi="Arial" w:cs="Arial"/>
                <w:color w:val="000000"/>
                <w:sz w:val="16"/>
                <w:szCs w:val="16"/>
                <w:lang w:bidi="ar-SA"/>
              </w:rPr>
              <w:t>320.000,00</w:t>
            </w:r>
          </w:p>
        </w:tc>
        <w:tc>
          <w:tcPr>
            <w:tcW w:w="90" w:type="dxa"/>
            <w:gridSpan w:val="2"/>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color w:val="000000"/>
                <w:sz w:val="16"/>
                <w:szCs w:val="16"/>
                <w:lang w:bidi="ar-SA"/>
              </w:rPr>
            </w:pPr>
          </w:p>
        </w:tc>
        <w:tc>
          <w:tcPr>
            <w:tcW w:w="765" w:type="dxa"/>
            <w:tcBorders>
              <w:top w:val="nil"/>
              <w:left w:val="nil"/>
              <w:bottom w:val="nil"/>
              <w:right w:val="nil"/>
            </w:tcBorders>
          </w:tcPr>
          <w:p w:rsidR="00FD5C7E" w:rsidRDefault="00FD5C7E">
            <w:pPr>
              <w:autoSpaceDE w:val="0"/>
              <w:autoSpaceDN w:val="0"/>
              <w:adjustRightInd w:val="0"/>
              <w:rPr>
                <w:rFonts w:ascii="Arial" w:hAnsi="Arial" w:cs="Arial"/>
                <w:i/>
                <w:iCs/>
                <w:color w:val="000000"/>
                <w:sz w:val="18"/>
                <w:szCs w:val="18"/>
                <w:lang w:bidi="ar-SA"/>
              </w:rPr>
            </w:pPr>
            <w:r>
              <w:rPr>
                <w:rFonts w:ascii="Arial" w:hAnsi="Arial" w:cs="Arial"/>
                <w:i/>
                <w:iCs/>
                <w:color w:val="000000"/>
                <w:sz w:val="18"/>
                <w:szCs w:val="18"/>
                <w:lang w:bidi="ar-SA"/>
              </w:rPr>
              <w:t>Titolo IV:</w:t>
            </w:r>
          </w:p>
        </w:tc>
        <w:tc>
          <w:tcPr>
            <w:tcW w:w="2207" w:type="dxa"/>
            <w:tcBorders>
              <w:top w:val="nil"/>
              <w:left w:val="nil"/>
              <w:bottom w:val="nil"/>
              <w:right w:val="nil"/>
            </w:tcBorders>
          </w:tcPr>
          <w:p w:rsidR="00FD5C7E" w:rsidRDefault="00FD5C7E">
            <w:pPr>
              <w:autoSpaceDE w:val="0"/>
              <w:autoSpaceDN w:val="0"/>
              <w:adjustRightInd w:val="0"/>
              <w:rPr>
                <w:rFonts w:ascii="Arial" w:hAnsi="Arial" w:cs="Arial"/>
                <w:color w:val="000000"/>
                <w:sz w:val="18"/>
                <w:szCs w:val="18"/>
                <w:lang w:bidi="ar-SA"/>
              </w:rPr>
            </w:pPr>
            <w:r>
              <w:rPr>
                <w:rFonts w:ascii="Arial" w:hAnsi="Arial" w:cs="Arial"/>
                <w:color w:val="000000"/>
                <w:sz w:val="18"/>
                <w:szCs w:val="18"/>
                <w:lang w:bidi="ar-SA"/>
              </w:rPr>
              <w:t>Spese per servizi per conto di terzi</w:t>
            </w:r>
          </w:p>
        </w:tc>
        <w:tc>
          <w:tcPr>
            <w:tcW w:w="1732" w:type="dxa"/>
            <w:tcBorders>
              <w:top w:val="nil"/>
              <w:left w:val="single" w:sz="6" w:space="0" w:color="auto"/>
              <w:bottom w:val="nil"/>
              <w:right w:val="single" w:sz="6" w:space="0" w:color="auto"/>
            </w:tcBorders>
          </w:tcPr>
          <w:p w:rsidR="00FD5C7E" w:rsidRDefault="00FD5C7E">
            <w:pPr>
              <w:autoSpaceDE w:val="0"/>
              <w:autoSpaceDN w:val="0"/>
              <w:adjustRightInd w:val="0"/>
              <w:jc w:val="right"/>
              <w:rPr>
                <w:rFonts w:ascii="Comic Sans MS" w:hAnsi="Comic Sans MS" w:cs="Comic Sans MS"/>
                <w:color w:val="000000"/>
                <w:sz w:val="16"/>
                <w:szCs w:val="16"/>
                <w:lang w:bidi="ar-SA"/>
              </w:rPr>
            </w:pPr>
            <w:r>
              <w:rPr>
                <w:rFonts w:ascii="Comic Sans MS" w:hAnsi="Comic Sans MS" w:cs="Comic Sans MS"/>
                <w:color w:val="000000"/>
                <w:sz w:val="16"/>
                <w:szCs w:val="16"/>
                <w:lang w:bidi="ar-SA"/>
              </w:rPr>
              <w:t>320.000,00</w:t>
            </w:r>
          </w:p>
        </w:tc>
      </w:tr>
      <w:tr w:rsidR="00FD5C7E" w:rsidTr="00FD5C7E">
        <w:tblPrEx>
          <w:tblCellMar>
            <w:top w:w="0" w:type="dxa"/>
            <w:bottom w:w="0" w:type="dxa"/>
          </w:tblCellMar>
        </w:tblPrEx>
        <w:trPr>
          <w:trHeight w:val="389"/>
        </w:trPr>
        <w:tc>
          <w:tcPr>
            <w:tcW w:w="739" w:type="dxa"/>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i/>
                <w:iCs/>
                <w:color w:val="000000"/>
                <w:sz w:val="18"/>
                <w:szCs w:val="18"/>
                <w:lang w:bidi="ar-SA"/>
              </w:rPr>
            </w:pPr>
          </w:p>
        </w:tc>
        <w:tc>
          <w:tcPr>
            <w:tcW w:w="2462" w:type="dxa"/>
            <w:tcBorders>
              <w:top w:val="nil"/>
              <w:left w:val="nil"/>
              <w:bottom w:val="nil"/>
              <w:right w:val="nil"/>
            </w:tcBorders>
          </w:tcPr>
          <w:p w:rsidR="00FD5C7E" w:rsidRDefault="00FD5C7E">
            <w:pPr>
              <w:autoSpaceDE w:val="0"/>
              <w:autoSpaceDN w:val="0"/>
              <w:adjustRightInd w:val="0"/>
              <w:jc w:val="right"/>
              <w:rPr>
                <w:rFonts w:ascii="Arial" w:hAnsi="Arial" w:cs="Arial"/>
                <w:i/>
                <w:iCs/>
                <w:color w:val="000000"/>
                <w:sz w:val="18"/>
                <w:szCs w:val="18"/>
                <w:lang w:bidi="ar-SA"/>
              </w:rPr>
            </w:pPr>
            <w:r>
              <w:rPr>
                <w:rFonts w:ascii="Arial" w:hAnsi="Arial" w:cs="Arial"/>
                <w:i/>
                <w:iCs/>
                <w:color w:val="000000"/>
                <w:sz w:val="18"/>
                <w:szCs w:val="18"/>
                <w:lang w:bidi="ar-SA"/>
              </w:rPr>
              <w:t xml:space="preserve">Totale </w:t>
            </w:r>
          </w:p>
        </w:tc>
        <w:tc>
          <w:tcPr>
            <w:tcW w:w="1721" w:type="dxa"/>
            <w:gridSpan w:val="2"/>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i/>
                <w:iCs/>
                <w:color w:val="000000"/>
                <w:sz w:val="16"/>
                <w:szCs w:val="16"/>
                <w:lang w:bidi="ar-SA"/>
              </w:rPr>
            </w:pPr>
            <w:r>
              <w:rPr>
                <w:rFonts w:ascii="Arial" w:hAnsi="Arial" w:cs="Arial"/>
                <w:i/>
                <w:iCs/>
                <w:color w:val="000000"/>
                <w:sz w:val="16"/>
                <w:szCs w:val="16"/>
                <w:lang w:bidi="ar-SA"/>
              </w:rPr>
              <w:t>3.</w:t>
            </w:r>
            <w:r w:rsidR="00BC3C7B">
              <w:rPr>
                <w:rFonts w:ascii="Arial" w:hAnsi="Arial" w:cs="Arial"/>
                <w:i/>
                <w:iCs/>
                <w:color w:val="000000"/>
                <w:sz w:val="16"/>
                <w:szCs w:val="16"/>
                <w:lang w:bidi="ar-SA"/>
              </w:rPr>
              <w:t>528.358,06</w:t>
            </w:r>
          </w:p>
        </w:tc>
        <w:tc>
          <w:tcPr>
            <w:tcW w:w="90" w:type="dxa"/>
            <w:gridSpan w:val="2"/>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i/>
                <w:iCs/>
                <w:color w:val="000000"/>
                <w:sz w:val="16"/>
                <w:szCs w:val="16"/>
                <w:lang w:bidi="ar-SA"/>
              </w:rPr>
            </w:pPr>
          </w:p>
        </w:tc>
        <w:tc>
          <w:tcPr>
            <w:tcW w:w="765" w:type="dxa"/>
            <w:tcBorders>
              <w:top w:val="nil"/>
              <w:left w:val="nil"/>
              <w:bottom w:val="nil"/>
              <w:right w:val="nil"/>
            </w:tcBorders>
          </w:tcPr>
          <w:p w:rsidR="00FD5C7E" w:rsidRDefault="00FD5C7E">
            <w:pPr>
              <w:autoSpaceDE w:val="0"/>
              <w:autoSpaceDN w:val="0"/>
              <w:adjustRightInd w:val="0"/>
              <w:jc w:val="right"/>
              <w:rPr>
                <w:rFonts w:ascii="Arial" w:hAnsi="Arial" w:cs="Arial"/>
                <w:i/>
                <w:iCs/>
                <w:color w:val="000000"/>
                <w:sz w:val="18"/>
                <w:szCs w:val="18"/>
                <w:lang w:bidi="ar-SA"/>
              </w:rPr>
            </w:pPr>
          </w:p>
        </w:tc>
        <w:tc>
          <w:tcPr>
            <w:tcW w:w="2207" w:type="dxa"/>
            <w:tcBorders>
              <w:top w:val="nil"/>
              <w:left w:val="nil"/>
              <w:bottom w:val="nil"/>
              <w:right w:val="nil"/>
            </w:tcBorders>
          </w:tcPr>
          <w:p w:rsidR="00FD5C7E" w:rsidRDefault="00FD5C7E">
            <w:pPr>
              <w:autoSpaceDE w:val="0"/>
              <w:autoSpaceDN w:val="0"/>
              <w:adjustRightInd w:val="0"/>
              <w:jc w:val="right"/>
              <w:rPr>
                <w:rFonts w:ascii="Arial" w:hAnsi="Arial" w:cs="Arial"/>
                <w:i/>
                <w:iCs/>
                <w:color w:val="000000"/>
                <w:sz w:val="18"/>
                <w:szCs w:val="18"/>
                <w:lang w:bidi="ar-SA"/>
              </w:rPr>
            </w:pPr>
            <w:r>
              <w:rPr>
                <w:rFonts w:ascii="Arial" w:hAnsi="Arial" w:cs="Arial"/>
                <w:i/>
                <w:iCs/>
                <w:color w:val="000000"/>
                <w:sz w:val="18"/>
                <w:szCs w:val="18"/>
                <w:lang w:bidi="ar-SA"/>
              </w:rPr>
              <w:t xml:space="preserve">Totale </w:t>
            </w:r>
          </w:p>
        </w:tc>
        <w:tc>
          <w:tcPr>
            <w:tcW w:w="1732" w:type="dxa"/>
            <w:tcBorders>
              <w:top w:val="nil"/>
              <w:left w:val="single" w:sz="6" w:space="0" w:color="auto"/>
              <w:bottom w:val="nil"/>
              <w:right w:val="single" w:sz="6" w:space="0" w:color="auto"/>
            </w:tcBorders>
          </w:tcPr>
          <w:p w:rsidR="00FD5C7E" w:rsidRDefault="00BC3C7B">
            <w:pPr>
              <w:autoSpaceDE w:val="0"/>
              <w:autoSpaceDN w:val="0"/>
              <w:adjustRightInd w:val="0"/>
              <w:jc w:val="right"/>
              <w:rPr>
                <w:rFonts w:ascii="Comic Sans MS" w:hAnsi="Comic Sans MS" w:cs="Comic Sans MS"/>
                <w:i/>
                <w:iCs/>
                <w:color w:val="000000"/>
                <w:sz w:val="16"/>
                <w:szCs w:val="16"/>
                <w:lang w:bidi="ar-SA"/>
              </w:rPr>
            </w:pPr>
            <w:r>
              <w:rPr>
                <w:rFonts w:ascii="Comic Sans MS" w:hAnsi="Comic Sans MS" w:cs="Comic Sans MS"/>
                <w:i/>
                <w:iCs/>
                <w:color w:val="000000"/>
                <w:sz w:val="16"/>
                <w:szCs w:val="16"/>
                <w:lang w:bidi="ar-SA"/>
              </w:rPr>
              <w:t>3.528.358,06</w:t>
            </w:r>
          </w:p>
        </w:tc>
      </w:tr>
      <w:tr w:rsidR="00FD5C7E" w:rsidTr="00FD5C7E">
        <w:tblPrEx>
          <w:tblCellMar>
            <w:top w:w="0" w:type="dxa"/>
            <w:bottom w:w="0" w:type="dxa"/>
          </w:tblCellMar>
        </w:tblPrEx>
        <w:trPr>
          <w:trHeight w:val="542"/>
        </w:trPr>
        <w:tc>
          <w:tcPr>
            <w:tcW w:w="4922" w:type="dxa"/>
            <w:gridSpan w:val="4"/>
            <w:tcBorders>
              <w:top w:val="nil"/>
              <w:left w:val="single" w:sz="6" w:space="0" w:color="auto"/>
              <w:bottom w:val="nil"/>
              <w:right w:val="nil"/>
            </w:tcBorders>
          </w:tcPr>
          <w:p w:rsidR="00FD5C7E" w:rsidRDefault="00FD5C7E">
            <w:pPr>
              <w:autoSpaceDE w:val="0"/>
              <w:autoSpaceDN w:val="0"/>
              <w:adjustRightInd w:val="0"/>
              <w:jc w:val="center"/>
              <w:rPr>
                <w:rFonts w:ascii="Arial" w:hAnsi="Arial" w:cs="Arial"/>
                <w:b/>
                <w:bCs/>
                <w:color w:val="000000"/>
                <w:sz w:val="18"/>
                <w:szCs w:val="18"/>
                <w:lang w:bidi="ar-SA"/>
              </w:rPr>
            </w:pPr>
          </w:p>
        </w:tc>
        <w:tc>
          <w:tcPr>
            <w:tcW w:w="90" w:type="dxa"/>
            <w:gridSpan w:val="2"/>
            <w:tcBorders>
              <w:top w:val="nil"/>
              <w:left w:val="single" w:sz="6" w:space="0" w:color="auto"/>
              <w:bottom w:val="nil"/>
              <w:right w:val="nil"/>
            </w:tcBorders>
          </w:tcPr>
          <w:p w:rsidR="00FD5C7E" w:rsidRDefault="00FD5C7E">
            <w:pPr>
              <w:autoSpaceDE w:val="0"/>
              <w:autoSpaceDN w:val="0"/>
              <w:adjustRightInd w:val="0"/>
              <w:jc w:val="right"/>
              <w:rPr>
                <w:rFonts w:ascii="Arial" w:hAnsi="Arial" w:cs="Arial"/>
                <w:color w:val="000000"/>
                <w:sz w:val="16"/>
                <w:szCs w:val="16"/>
                <w:lang w:bidi="ar-SA"/>
              </w:rPr>
            </w:pPr>
          </w:p>
        </w:tc>
        <w:tc>
          <w:tcPr>
            <w:tcW w:w="4704" w:type="dxa"/>
            <w:gridSpan w:val="3"/>
            <w:tcBorders>
              <w:top w:val="nil"/>
              <w:left w:val="nil"/>
              <w:bottom w:val="nil"/>
              <w:right w:val="single" w:sz="6" w:space="0" w:color="auto"/>
            </w:tcBorders>
          </w:tcPr>
          <w:p w:rsidR="00FD5C7E" w:rsidRDefault="00FD5C7E">
            <w:pPr>
              <w:autoSpaceDE w:val="0"/>
              <w:autoSpaceDN w:val="0"/>
              <w:adjustRightInd w:val="0"/>
              <w:jc w:val="center"/>
              <w:rPr>
                <w:rFonts w:ascii="Arial" w:hAnsi="Arial" w:cs="Arial"/>
                <w:b/>
                <w:bCs/>
                <w:color w:val="000000"/>
                <w:sz w:val="18"/>
                <w:szCs w:val="18"/>
                <w:lang w:bidi="ar-SA"/>
              </w:rPr>
            </w:pPr>
          </w:p>
        </w:tc>
      </w:tr>
      <w:tr w:rsidR="00FD5C7E" w:rsidTr="00FD5C7E">
        <w:tblPrEx>
          <w:tblCellMar>
            <w:top w:w="0" w:type="dxa"/>
            <w:bottom w:w="0" w:type="dxa"/>
          </w:tblCellMar>
        </w:tblPrEx>
        <w:trPr>
          <w:trHeight w:val="80"/>
        </w:trPr>
        <w:tc>
          <w:tcPr>
            <w:tcW w:w="739" w:type="dxa"/>
            <w:tcBorders>
              <w:top w:val="nil"/>
              <w:left w:val="single" w:sz="6" w:space="0" w:color="auto"/>
              <w:bottom w:val="nil"/>
              <w:right w:val="nil"/>
            </w:tcBorders>
            <w:shd w:val="solid" w:color="C0C0C0" w:fill="auto"/>
          </w:tcPr>
          <w:p w:rsidR="00FD5C7E" w:rsidRDefault="00FD5C7E">
            <w:pPr>
              <w:autoSpaceDE w:val="0"/>
              <w:autoSpaceDN w:val="0"/>
              <w:adjustRightInd w:val="0"/>
              <w:jc w:val="right"/>
              <w:rPr>
                <w:rFonts w:ascii="Comic Sans MS" w:hAnsi="Comic Sans MS" w:cs="Comic Sans MS"/>
                <w:color w:val="000000"/>
                <w:sz w:val="16"/>
                <w:szCs w:val="16"/>
                <w:lang w:bidi="ar-SA"/>
              </w:rPr>
            </w:pPr>
          </w:p>
        </w:tc>
        <w:tc>
          <w:tcPr>
            <w:tcW w:w="2462" w:type="dxa"/>
            <w:tcBorders>
              <w:top w:val="nil"/>
              <w:left w:val="nil"/>
              <w:bottom w:val="nil"/>
              <w:right w:val="nil"/>
            </w:tcBorders>
            <w:shd w:val="solid" w:color="C0C0C0" w:fill="auto"/>
          </w:tcPr>
          <w:p w:rsidR="00FD5C7E" w:rsidRDefault="00FD5C7E">
            <w:pPr>
              <w:autoSpaceDE w:val="0"/>
              <w:autoSpaceDN w:val="0"/>
              <w:adjustRightInd w:val="0"/>
              <w:rPr>
                <w:rFonts w:ascii="Comic Sans MS" w:hAnsi="Comic Sans MS" w:cs="Comic Sans MS"/>
                <w:color w:val="000000"/>
                <w:sz w:val="16"/>
                <w:szCs w:val="16"/>
                <w:lang w:bidi="ar-SA"/>
              </w:rPr>
            </w:pPr>
          </w:p>
        </w:tc>
        <w:tc>
          <w:tcPr>
            <w:tcW w:w="1721" w:type="dxa"/>
            <w:gridSpan w:val="2"/>
            <w:tcBorders>
              <w:top w:val="nil"/>
              <w:left w:val="nil"/>
              <w:bottom w:val="nil"/>
              <w:right w:val="nil"/>
            </w:tcBorders>
            <w:shd w:val="solid" w:color="C0C0C0" w:fill="auto"/>
          </w:tcPr>
          <w:p w:rsidR="00FD5C7E" w:rsidRDefault="00FD5C7E">
            <w:pPr>
              <w:autoSpaceDE w:val="0"/>
              <w:autoSpaceDN w:val="0"/>
              <w:adjustRightInd w:val="0"/>
              <w:jc w:val="right"/>
              <w:rPr>
                <w:rFonts w:ascii="Comic Sans MS" w:hAnsi="Comic Sans MS" w:cs="Comic Sans MS"/>
                <w:color w:val="000000"/>
                <w:sz w:val="16"/>
                <w:szCs w:val="16"/>
                <w:lang w:bidi="ar-SA"/>
              </w:rPr>
            </w:pPr>
          </w:p>
        </w:tc>
        <w:tc>
          <w:tcPr>
            <w:tcW w:w="90" w:type="dxa"/>
            <w:gridSpan w:val="2"/>
            <w:tcBorders>
              <w:top w:val="nil"/>
              <w:left w:val="nil"/>
              <w:bottom w:val="nil"/>
              <w:right w:val="nil"/>
            </w:tcBorders>
            <w:shd w:val="solid" w:color="C0C0C0" w:fill="auto"/>
          </w:tcPr>
          <w:p w:rsidR="00FD5C7E" w:rsidRDefault="00FD5C7E">
            <w:pPr>
              <w:autoSpaceDE w:val="0"/>
              <w:autoSpaceDN w:val="0"/>
              <w:adjustRightInd w:val="0"/>
              <w:jc w:val="right"/>
              <w:rPr>
                <w:rFonts w:ascii="Comic Sans MS" w:hAnsi="Comic Sans MS" w:cs="Comic Sans MS"/>
                <w:color w:val="000000"/>
                <w:sz w:val="16"/>
                <w:szCs w:val="16"/>
                <w:lang w:bidi="ar-SA"/>
              </w:rPr>
            </w:pPr>
          </w:p>
        </w:tc>
        <w:tc>
          <w:tcPr>
            <w:tcW w:w="765" w:type="dxa"/>
            <w:tcBorders>
              <w:top w:val="nil"/>
              <w:left w:val="nil"/>
              <w:bottom w:val="nil"/>
              <w:right w:val="nil"/>
            </w:tcBorders>
            <w:shd w:val="solid" w:color="C0C0C0" w:fill="auto"/>
          </w:tcPr>
          <w:p w:rsidR="00FD5C7E" w:rsidRDefault="00FD5C7E">
            <w:pPr>
              <w:autoSpaceDE w:val="0"/>
              <w:autoSpaceDN w:val="0"/>
              <w:adjustRightInd w:val="0"/>
              <w:jc w:val="right"/>
              <w:rPr>
                <w:rFonts w:ascii="Comic Sans MS" w:hAnsi="Comic Sans MS" w:cs="Comic Sans MS"/>
                <w:color w:val="000000"/>
                <w:sz w:val="18"/>
                <w:szCs w:val="18"/>
                <w:lang w:bidi="ar-SA"/>
              </w:rPr>
            </w:pPr>
          </w:p>
        </w:tc>
        <w:tc>
          <w:tcPr>
            <w:tcW w:w="2207" w:type="dxa"/>
            <w:tcBorders>
              <w:top w:val="nil"/>
              <w:left w:val="nil"/>
              <w:bottom w:val="nil"/>
              <w:right w:val="nil"/>
            </w:tcBorders>
            <w:shd w:val="solid" w:color="C0C0C0" w:fill="auto"/>
          </w:tcPr>
          <w:p w:rsidR="00FD5C7E" w:rsidRDefault="00FD5C7E">
            <w:pPr>
              <w:autoSpaceDE w:val="0"/>
              <w:autoSpaceDN w:val="0"/>
              <w:adjustRightInd w:val="0"/>
              <w:rPr>
                <w:rFonts w:ascii="Comic Sans MS" w:hAnsi="Comic Sans MS" w:cs="Comic Sans MS"/>
                <w:color w:val="000000"/>
                <w:sz w:val="18"/>
                <w:szCs w:val="18"/>
                <w:lang w:bidi="ar-SA"/>
              </w:rPr>
            </w:pPr>
          </w:p>
        </w:tc>
        <w:tc>
          <w:tcPr>
            <w:tcW w:w="1732" w:type="dxa"/>
            <w:tcBorders>
              <w:top w:val="nil"/>
              <w:left w:val="nil"/>
              <w:bottom w:val="nil"/>
              <w:right w:val="single" w:sz="6" w:space="0" w:color="auto"/>
            </w:tcBorders>
            <w:shd w:val="solid" w:color="C0C0C0" w:fill="auto"/>
          </w:tcPr>
          <w:p w:rsidR="00FD5C7E" w:rsidRDefault="00FD5C7E">
            <w:pPr>
              <w:autoSpaceDE w:val="0"/>
              <w:autoSpaceDN w:val="0"/>
              <w:adjustRightInd w:val="0"/>
              <w:rPr>
                <w:rFonts w:ascii="Comic Sans MS" w:hAnsi="Comic Sans MS" w:cs="Comic Sans MS"/>
                <w:color w:val="000000"/>
                <w:sz w:val="16"/>
                <w:szCs w:val="16"/>
                <w:lang w:bidi="ar-SA"/>
              </w:rPr>
            </w:pPr>
          </w:p>
        </w:tc>
      </w:tr>
      <w:tr w:rsidR="00FD5C7E" w:rsidTr="00FD5C7E">
        <w:tblPrEx>
          <w:tblCellMar>
            <w:top w:w="0" w:type="dxa"/>
            <w:bottom w:w="0" w:type="dxa"/>
          </w:tblCellMar>
        </w:tblPrEx>
        <w:trPr>
          <w:trHeight w:val="485"/>
        </w:trPr>
        <w:tc>
          <w:tcPr>
            <w:tcW w:w="3201" w:type="dxa"/>
            <w:gridSpan w:val="2"/>
            <w:tcBorders>
              <w:top w:val="single" w:sz="6" w:space="0" w:color="auto"/>
              <w:left w:val="single" w:sz="6" w:space="0" w:color="auto"/>
              <w:bottom w:val="single" w:sz="6" w:space="0" w:color="auto"/>
              <w:right w:val="single" w:sz="6" w:space="0" w:color="auto"/>
            </w:tcBorders>
          </w:tcPr>
          <w:p w:rsidR="00FD5C7E" w:rsidRDefault="00FD5C7E">
            <w:pPr>
              <w:autoSpaceDE w:val="0"/>
              <w:autoSpaceDN w:val="0"/>
              <w:adjustRightInd w:val="0"/>
              <w:jc w:val="center"/>
              <w:rPr>
                <w:rFonts w:ascii="Arial" w:hAnsi="Arial" w:cs="Arial"/>
                <w:b/>
                <w:bCs/>
                <w:i/>
                <w:iCs/>
                <w:color w:val="000000"/>
                <w:sz w:val="18"/>
                <w:szCs w:val="18"/>
                <w:lang w:bidi="ar-SA"/>
              </w:rPr>
            </w:pPr>
            <w:r>
              <w:rPr>
                <w:rFonts w:ascii="Arial" w:hAnsi="Arial" w:cs="Arial"/>
                <w:b/>
                <w:bCs/>
                <w:i/>
                <w:iCs/>
                <w:color w:val="000000"/>
                <w:sz w:val="18"/>
                <w:szCs w:val="18"/>
                <w:lang w:bidi="ar-SA"/>
              </w:rPr>
              <w:t>Totale complessivo entrate</w:t>
            </w:r>
          </w:p>
        </w:tc>
        <w:tc>
          <w:tcPr>
            <w:tcW w:w="1721" w:type="dxa"/>
            <w:gridSpan w:val="2"/>
            <w:tcBorders>
              <w:top w:val="single" w:sz="6" w:space="0" w:color="auto"/>
              <w:left w:val="single" w:sz="6" w:space="0" w:color="auto"/>
              <w:bottom w:val="single" w:sz="6" w:space="0" w:color="auto"/>
              <w:right w:val="single" w:sz="6" w:space="0" w:color="auto"/>
            </w:tcBorders>
          </w:tcPr>
          <w:p w:rsidR="00FD5C7E" w:rsidRDefault="00FD5C7E">
            <w:pPr>
              <w:autoSpaceDE w:val="0"/>
              <w:autoSpaceDN w:val="0"/>
              <w:adjustRightInd w:val="0"/>
              <w:jc w:val="right"/>
              <w:rPr>
                <w:rFonts w:ascii="Comic Sans MS" w:hAnsi="Comic Sans MS" w:cs="Comic Sans MS"/>
                <w:b/>
                <w:bCs/>
                <w:color w:val="000000"/>
                <w:sz w:val="16"/>
                <w:szCs w:val="16"/>
                <w:lang w:bidi="ar-SA"/>
              </w:rPr>
            </w:pPr>
            <w:r>
              <w:rPr>
                <w:rFonts w:ascii="Comic Sans MS" w:hAnsi="Comic Sans MS" w:cs="Comic Sans MS"/>
                <w:b/>
                <w:bCs/>
                <w:color w:val="000000"/>
                <w:sz w:val="16"/>
                <w:szCs w:val="16"/>
                <w:lang w:bidi="ar-SA"/>
              </w:rPr>
              <w:t>3.</w:t>
            </w:r>
            <w:r w:rsidR="00BC3C7B">
              <w:rPr>
                <w:rFonts w:ascii="Comic Sans MS" w:hAnsi="Comic Sans MS" w:cs="Comic Sans MS"/>
                <w:b/>
                <w:bCs/>
                <w:color w:val="000000"/>
                <w:sz w:val="16"/>
                <w:szCs w:val="16"/>
                <w:lang w:bidi="ar-SA"/>
              </w:rPr>
              <w:t>528.358,06</w:t>
            </w:r>
          </w:p>
        </w:tc>
        <w:tc>
          <w:tcPr>
            <w:tcW w:w="90" w:type="dxa"/>
            <w:gridSpan w:val="2"/>
            <w:tcBorders>
              <w:top w:val="single" w:sz="6" w:space="0" w:color="auto"/>
              <w:left w:val="single" w:sz="6" w:space="0" w:color="auto"/>
              <w:bottom w:val="single" w:sz="6" w:space="0" w:color="auto"/>
              <w:right w:val="nil"/>
            </w:tcBorders>
          </w:tcPr>
          <w:p w:rsidR="00FD5C7E" w:rsidRDefault="00FD5C7E">
            <w:pPr>
              <w:autoSpaceDE w:val="0"/>
              <w:autoSpaceDN w:val="0"/>
              <w:adjustRightInd w:val="0"/>
              <w:jc w:val="right"/>
              <w:rPr>
                <w:rFonts w:ascii="Comic Sans MS" w:hAnsi="Comic Sans MS" w:cs="Comic Sans MS"/>
                <w:color w:val="000000"/>
                <w:sz w:val="16"/>
                <w:szCs w:val="16"/>
                <w:lang w:bidi="ar-SA"/>
              </w:rPr>
            </w:pPr>
          </w:p>
        </w:tc>
        <w:tc>
          <w:tcPr>
            <w:tcW w:w="2972" w:type="dxa"/>
            <w:gridSpan w:val="2"/>
            <w:tcBorders>
              <w:top w:val="single" w:sz="6" w:space="0" w:color="auto"/>
              <w:left w:val="nil"/>
              <w:bottom w:val="single" w:sz="6" w:space="0" w:color="auto"/>
              <w:right w:val="single" w:sz="6" w:space="0" w:color="auto"/>
            </w:tcBorders>
          </w:tcPr>
          <w:p w:rsidR="00FD5C7E" w:rsidRDefault="00FD5C7E">
            <w:pPr>
              <w:autoSpaceDE w:val="0"/>
              <w:autoSpaceDN w:val="0"/>
              <w:adjustRightInd w:val="0"/>
              <w:jc w:val="center"/>
              <w:rPr>
                <w:rFonts w:ascii="Arial" w:hAnsi="Arial" w:cs="Arial"/>
                <w:b/>
                <w:bCs/>
                <w:i/>
                <w:iCs/>
                <w:color w:val="000000"/>
                <w:sz w:val="18"/>
                <w:szCs w:val="18"/>
                <w:lang w:bidi="ar-SA"/>
              </w:rPr>
            </w:pPr>
            <w:r>
              <w:rPr>
                <w:rFonts w:ascii="Arial" w:hAnsi="Arial" w:cs="Arial"/>
                <w:b/>
                <w:bCs/>
                <w:i/>
                <w:iCs/>
                <w:color w:val="000000"/>
                <w:sz w:val="18"/>
                <w:szCs w:val="18"/>
                <w:lang w:bidi="ar-SA"/>
              </w:rPr>
              <w:t>Totale complessivo spese</w:t>
            </w:r>
          </w:p>
        </w:tc>
        <w:tc>
          <w:tcPr>
            <w:tcW w:w="1732" w:type="dxa"/>
            <w:tcBorders>
              <w:top w:val="single" w:sz="6" w:space="0" w:color="auto"/>
              <w:left w:val="single" w:sz="6" w:space="0" w:color="auto"/>
              <w:bottom w:val="single" w:sz="6" w:space="0" w:color="auto"/>
              <w:right w:val="single" w:sz="6" w:space="0" w:color="auto"/>
            </w:tcBorders>
          </w:tcPr>
          <w:p w:rsidR="00FD5C7E" w:rsidRDefault="00FD5C7E">
            <w:pPr>
              <w:autoSpaceDE w:val="0"/>
              <w:autoSpaceDN w:val="0"/>
              <w:adjustRightInd w:val="0"/>
              <w:jc w:val="right"/>
              <w:rPr>
                <w:rFonts w:ascii="Comic Sans MS" w:hAnsi="Comic Sans MS" w:cs="Comic Sans MS"/>
                <w:b/>
                <w:bCs/>
                <w:color w:val="000000"/>
                <w:sz w:val="16"/>
                <w:szCs w:val="16"/>
                <w:lang w:bidi="ar-SA"/>
              </w:rPr>
            </w:pPr>
            <w:r>
              <w:rPr>
                <w:rFonts w:ascii="Comic Sans MS" w:hAnsi="Comic Sans MS" w:cs="Comic Sans MS"/>
                <w:b/>
                <w:bCs/>
                <w:color w:val="000000"/>
                <w:sz w:val="16"/>
                <w:szCs w:val="16"/>
                <w:lang w:bidi="ar-SA"/>
              </w:rPr>
              <w:t>3.</w:t>
            </w:r>
            <w:r w:rsidR="00BC3C7B">
              <w:rPr>
                <w:rFonts w:ascii="Comic Sans MS" w:hAnsi="Comic Sans MS" w:cs="Comic Sans MS"/>
                <w:b/>
                <w:bCs/>
                <w:color w:val="000000"/>
                <w:sz w:val="16"/>
                <w:szCs w:val="16"/>
                <w:lang w:bidi="ar-SA"/>
              </w:rPr>
              <w:t>528.358,06</w:t>
            </w:r>
          </w:p>
        </w:tc>
      </w:tr>
    </w:tbl>
    <w:p w:rsidR="00FD5C7E" w:rsidRDefault="00FD5C7E" w:rsidP="00FD5C7E"/>
    <w:p w:rsidR="00FD5C7E" w:rsidRDefault="00FD5C7E" w:rsidP="00FD5C7E"/>
    <w:p w:rsidR="00FD5C7E" w:rsidRPr="00FD5C7E" w:rsidRDefault="00FD5C7E" w:rsidP="00FD5C7E"/>
    <w:tbl>
      <w:tblPr>
        <w:tblW w:w="0" w:type="auto"/>
        <w:tblInd w:w="3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5"/>
      </w:tblGrid>
      <w:tr w:rsidR="00F827F1">
        <w:trPr>
          <w:trHeight w:val="1004"/>
        </w:trPr>
        <w:tc>
          <w:tcPr>
            <w:tcW w:w="3375" w:type="dxa"/>
          </w:tcPr>
          <w:p w:rsidR="00F827F1" w:rsidRDefault="00F827F1" w:rsidP="007F7669">
            <w:pPr>
              <w:pStyle w:val="Titolo3"/>
              <w:spacing w:line="360" w:lineRule="auto"/>
              <w:jc w:val="center"/>
              <w:rPr>
                <w:b/>
              </w:rPr>
            </w:pPr>
          </w:p>
          <w:p w:rsidR="00F827F1" w:rsidRDefault="00F827F1" w:rsidP="007F7669">
            <w:pPr>
              <w:pStyle w:val="Titolo3"/>
              <w:spacing w:line="360" w:lineRule="auto"/>
              <w:jc w:val="center"/>
              <w:rPr>
                <w:b/>
              </w:rPr>
            </w:pPr>
            <w:r w:rsidRPr="00567D1E">
              <w:rPr>
                <w:b/>
              </w:rPr>
              <w:t>ENTRAT</w:t>
            </w:r>
            <w:r w:rsidR="00FD5C7E">
              <w:rPr>
                <w:b/>
              </w:rPr>
              <w:t>E</w:t>
            </w:r>
          </w:p>
          <w:p w:rsidR="00F827F1" w:rsidRPr="00F827F1" w:rsidRDefault="00F827F1" w:rsidP="007F7669">
            <w:pPr>
              <w:spacing w:line="360" w:lineRule="auto"/>
              <w:jc w:val="center"/>
            </w:pPr>
          </w:p>
        </w:tc>
      </w:tr>
    </w:tbl>
    <w:p w:rsidR="0078622E" w:rsidRDefault="0078622E" w:rsidP="007F7669">
      <w:pPr>
        <w:pStyle w:val="Titolo3"/>
        <w:spacing w:line="360" w:lineRule="auto"/>
        <w:jc w:val="center"/>
        <w:rPr>
          <w:u w:val="single"/>
        </w:rPr>
      </w:pPr>
    </w:p>
    <w:p w:rsidR="000C3040" w:rsidRPr="00A42B2D" w:rsidRDefault="000C3040" w:rsidP="00057500">
      <w:pPr>
        <w:pStyle w:val="Titolo3"/>
        <w:spacing w:line="360" w:lineRule="auto"/>
        <w:rPr>
          <w:b/>
          <w:u w:val="single"/>
        </w:rPr>
      </w:pPr>
      <w:r w:rsidRPr="00A42B2D">
        <w:rPr>
          <w:b/>
          <w:u w:val="single"/>
        </w:rPr>
        <w:t>ENTRATE CORRENTI</w:t>
      </w:r>
      <w:r w:rsidR="00A42B2D" w:rsidRPr="00A42B2D">
        <w:rPr>
          <w:b/>
          <w:u w:val="single"/>
        </w:rPr>
        <w:t xml:space="preserve"> - TITOLO II</w:t>
      </w:r>
    </w:p>
    <w:p w:rsidR="006C50B4" w:rsidRDefault="000C3040" w:rsidP="00057500">
      <w:pPr>
        <w:spacing w:line="360" w:lineRule="auto"/>
        <w:jc w:val="both"/>
        <w:rPr>
          <w:sz w:val="24"/>
        </w:rPr>
      </w:pPr>
      <w:r>
        <w:rPr>
          <w:sz w:val="24"/>
        </w:rPr>
        <w:t xml:space="preserve">Il totale delle entrate correnti </w:t>
      </w:r>
      <w:r w:rsidR="00DD2CC1">
        <w:rPr>
          <w:sz w:val="24"/>
        </w:rPr>
        <w:t xml:space="preserve">del Titolo II </w:t>
      </w:r>
      <w:r w:rsidR="00712EAC">
        <w:rPr>
          <w:sz w:val="24"/>
        </w:rPr>
        <w:t>per l’esercizio finanziario 20</w:t>
      </w:r>
      <w:r w:rsidR="00D3546B">
        <w:rPr>
          <w:sz w:val="24"/>
        </w:rPr>
        <w:t>1</w:t>
      </w:r>
      <w:r w:rsidR="003C609D">
        <w:rPr>
          <w:sz w:val="24"/>
        </w:rPr>
        <w:t>3</w:t>
      </w:r>
      <w:r>
        <w:rPr>
          <w:sz w:val="24"/>
        </w:rPr>
        <w:t xml:space="preserve">, pari ad € </w:t>
      </w:r>
      <w:r w:rsidR="0077021B">
        <w:rPr>
          <w:sz w:val="24"/>
        </w:rPr>
        <w:t>1.</w:t>
      </w:r>
      <w:r w:rsidR="00B25D4B">
        <w:rPr>
          <w:sz w:val="24"/>
        </w:rPr>
        <w:t>678.231,27</w:t>
      </w:r>
      <w:r w:rsidR="00EF5B8E">
        <w:rPr>
          <w:sz w:val="24"/>
        </w:rPr>
        <w:t xml:space="preserve"> diminuisce</w:t>
      </w:r>
      <w:r w:rsidR="00567D1E">
        <w:rPr>
          <w:sz w:val="24"/>
        </w:rPr>
        <w:t xml:space="preserve"> sensibilmente</w:t>
      </w:r>
      <w:r w:rsidR="00426C58">
        <w:rPr>
          <w:sz w:val="24"/>
        </w:rPr>
        <w:t xml:space="preserve"> rispetto al dato </w:t>
      </w:r>
      <w:r w:rsidR="00567D1E">
        <w:rPr>
          <w:sz w:val="24"/>
        </w:rPr>
        <w:t>assestato 2012</w:t>
      </w:r>
      <w:r w:rsidR="003903A1">
        <w:rPr>
          <w:sz w:val="24"/>
        </w:rPr>
        <w:t xml:space="preserve"> pari ad € 1.792.797,94</w:t>
      </w:r>
      <w:r w:rsidR="00567D1E">
        <w:rPr>
          <w:sz w:val="24"/>
        </w:rPr>
        <w:t xml:space="preserve"> di €</w:t>
      </w:r>
      <w:r w:rsidR="003903A1">
        <w:rPr>
          <w:sz w:val="24"/>
        </w:rPr>
        <w:t xml:space="preserve"> </w:t>
      </w:r>
      <w:r w:rsidR="00B25D4B">
        <w:rPr>
          <w:sz w:val="24"/>
        </w:rPr>
        <w:t>114.566,67</w:t>
      </w:r>
    </w:p>
    <w:p w:rsidR="000C3040" w:rsidRDefault="00B53BFE" w:rsidP="00057500">
      <w:pPr>
        <w:spacing w:line="360" w:lineRule="auto"/>
        <w:jc w:val="both"/>
        <w:rPr>
          <w:sz w:val="24"/>
        </w:rPr>
      </w:pPr>
      <w:r>
        <w:rPr>
          <w:sz w:val="24"/>
        </w:rPr>
        <w:t>Tale diminuzione è dovuta</w:t>
      </w:r>
      <w:r w:rsidR="000C3040">
        <w:rPr>
          <w:sz w:val="24"/>
        </w:rPr>
        <w:t>:</w:t>
      </w:r>
    </w:p>
    <w:p w:rsidR="000C3040" w:rsidRDefault="00B53BFE" w:rsidP="00057500">
      <w:pPr>
        <w:numPr>
          <w:ilvl w:val="0"/>
          <w:numId w:val="2"/>
        </w:numPr>
        <w:tabs>
          <w:tab w:val="clear" w:pos="360"/>
          <w:tab w:val="num" w:pos="420"/>
        </w:tabs>
        <w:spacing w:line="360" w:lineRule="auto"/>
        <w:ind w:left="0" w:firstLine="0"/>
        <w:jc w:val="both"/>
        <w:rPr>
          <w:sz w:val="24"/>
        </w:rPr>
      </w:pPr>
      <w:r>
        <w:rPr>
          <w:sz w:val="24"/>
        </w:rPr>
        <w:lastRenderedPageBreak/>
        <w:t xml:space="preserve">ad una diminuzione delle entrate </w:t>
      </w:r>
      <w:r w:rsidR="000C3040">
        <w:rPr>
          <w:sz w:val="24"/>
        </w:rPr>
        <w:t xml:space="preserve">del Titolo II </w:t>
      </w:r>
      <w:r w:rsidR="006C50B4">
        <w:rPr>
          <w:sz w:val="24"/>
        </w:rPr>
        <w:t>derivanti dai contributi ordinari</w:t>
      </w:r>
      <w:r w:rsidR="000C3040">
        <w:rPr>
          <w:sz w:val="24"/>
        </w:rPr>
        <w:t xml:space="preserve"> </w:t>
      </w:r>
      <w:r w:rsidR="006C50B4">
        <w:rPr>
          <w:sz w:val="24"/>
        </w:rPr>
        <w:t xml:space="preserve">di funzionamento </w:t>
      </w:r>
      <w:r w:rsidR="000C3040">
        <w:rPr>
          <w:sz w:val="24"/>
        </w:rPr>
        <w:t>che passano</w:t>
      </w:r>
      <w:r w:rsidR="00D01068">
        <w:rPr>
          <w:sz w:val="24"/>
        </w:rPr>
        <w:t xml:space="preserve"> d</w:t>
      </w:r>
      <w:r w:rsidR="000C3040">
        <w:rPr>
          <w:sz w:val="24"/>
        </w:rPr>
        <w:t xml:space="preserve">a </w:t>
      </w:r>
      <w:r w:rsidR="00EE5FE9">
        <w:rPr>
          <w:sz w:val="24"/>
        </w:rPr>
        <w:t xml:space="preserve">€ </w:t>
      </w:r>
      <w:r>
        <w:rPr>
          <w:sz w:val="24"/>
        </w:rPr>
        <w:t>1.</w:t>
      </w:r>
      <w:r w:rsidR="003903A1">
        <w:rPr>
          <w:sz w:val="24"/>
        </w:rPr>
        <w:t>727.379,84</w:t>
      </w:r>
      <w:r w:rsidR="000C3040">
        <w:rPr>
          <w:sz w:val="24"/>
        </w:rPr>
        <w:t xml:space="preserve"> a</w:t>
      </w:r>
      <w:r w:rsidR="00D01068">
        <w:rPr>
          <w:sz w:val="24"/>
        </w:rPr>
        <w:t>d</w:t>
      </w:r>
      <w:r w:rsidR="000C3040">
        <w:rPr>
          <w:sz w:val="24"/>
        </w:rPr>
        <w:t xml:space="preserve"> € </w:t>
      </w:r>
      <w:r w:rsidR="0077021B">
        <w:rPr>
          <w:sz w:val="24"/>
        </w:rPr>
        <w:t>1.</w:t>
      </w:r>
      <w:r w:rsidR="00B25D4B">
        <w:rPr>
          <w:sz w:val="24"/>
        </w:rPr>
        <w:t>622.313,17</w:t>
      </w:r>
      <w:r w:rsidR="00DA5AB4">
        <w:rPr>
          <w:sz w:val="24"/>
        </w:rPr>
        <w:t xml:space="preserve"> per un importo pari a</w:t>
      </w:r>
      <w:r w:rsidR="00F84877">
        <w:rPr>
          <w:sz w:val="24"/>
        </w:rPr>
        <w:t>d</w:t>
      </w:r>
      <w:r w:rsidR="00DA5AB4">
        <w:rPr>
          <w:sz w:val="24"/>
        </w:rPr>
        <w:t xml:space="preserve"> </w:t>
      </w:r>
      <w:r w:rsidR="00F84877">
        <w:rPr>
          <w:sz w:val="24"/>
        </w:rPr>
        <w:t xml:space="preserve">                </w:t>
      </w:r>
      <w:r>
        <w:rPr>
          <w:sz w:val="24"/>
        </w:rPr>
        <w:t xml:space="preserve"> </w:t>
      </w:r>
      <w:r w:rsidR="00DA5AB4">
        <w:rPr>
          <w:sz w:val="24"/>
        </w:rPr>
        <w:t xml:space="preserve">€ </w:t>
      </w:r>
      <w:r w:rsidR="00B25D4B">
        <w:rPr>
          <w:sz w:val="24"/>
        </w:rPr>
        <w:t>105.066,67</w:t>
      </w:r>
      <w:r w:rsidR="000C3040">
        <w:rPr>
          <w:sz w:val="24"/>
        </w:rPr>
        <w:t>.</w:t>
      </w:r>
    </w:p>
    <w:p w:rsidR="002D0C52" w:rsidRDefault="00507162" w:rsidP="00057500">
      <w:pPr>
        <w:spacing w:line="360" w:lineRule="auto"/>
        <w:jc w:val="both"/>
        <w:rPr>
          <w:sz w:val="24"/>
        </w:rPr>
      </w:pPr>
      <w:r>
        <w:rPr>
          <w:sz w:val="24"/>
        </w:rPr>
        <w:t xml:space="preserve">Il contributo ordinario della Regione Toscana </w:t>
      </w:r>
      <w:r w:rsidR="00B53BFE">
        <w:rPr>
          <w:sz w:val="24"/>
        </w:rPr>
        <w:t>diminuito</w:t>
      </w:r>
      <w:r w:rsidR="007B677D">
        <w:rPr>
          <w:sz w:val="24"/>
        </w:rPr>
        <w:t xml:space="preserve"> </w:t>
      </w:r>
      <w:r w:rsidR="00E4062E">
        <w:rPr>
          <w:sz w:val="24"/>
        </w:rPr>
        <w:t>rispetto al 20</w:t>
      </w:r>
      <w:r w:rsidR="007B677D">
        <w:rPr>
          <w:sz w:val="24"/>
        </w:rPr>
        <w:t>10</w:t>
      </w:r>
      <w:r w:rsidR="0059586B">
        <w:rPr>
          <w:sz w:val="24"/>
        </w:rPr>
        <w:t>,</w:t>
      </w:r>
      <w:r w:rsidR="00E4062E">
        <w:rPr>
          <w:sz w:val="24"/>
        </w:rPr>
        <w:t xml:space="preserve"> </w:t>
      </w:r>
      <w:r w:rsidR="002D0C52">
        <w:rPr>
          <w:sz w:val="24"/>
        </w:rPr>
        <w:t xml:space="preserve">di € </w:t>
      </w:r>
      <w:r w:rsidR="00734892">
        <w:rPr>
          <w:sz w:val="24"/>
        </w:rPr>
        <w:t>72.766,66</w:t>
      </w:r>
      <w:r w:rsidR="00B53BFE">
        <w:rPr>
          <w:sz w:val="24"/>
        </w:rPr>
        <w:t xml:space="preserve"> per effetto dell’art.3 della Legge regionale n.65/2010, </w:t>
      </w:r>
      <w:r w:rsidR="002A2ABC">
        <w:rPr>
          <w:sz w:val="24"/>
        </w:rPr>
        <w:t xml:space="preserve">diminuisce di un ulteriore </w:t>
      </w:r>
      <w:r w:rsidR="007E37D0">
        <w:rPr>
          <w:sz w:val="24"/>
        </w:rPr>
        <w:t>7,60</w:t>
      </w:r>
      <w:r w:rsidR="002A2ABC">
        <w:rPr>
          <w:sz w:val="24"/>
        </w:rPr>
        <w:t xml:space="preserve">% rispetto a quanto assegnato nel 2012 passando da </w:t>
      </w:r>
      <w:r w:rsidR="00B53BFE">
        <w:rPr>
          <w:sz w:val="24"/>
        </w:rPr>
        <w:t>€ 1.382.566,67</w:t>
      </w:r>
      <w:r w:rsidR="002A2ABC">
        <w:rPr>
          <w:sz w:val="24"/>
        </w:rPr>
        <w:t xml:space="preserve"> ad € </w:t>
      </w:r>
      <w:r w:rsidR="00341700">
        <w:rPr>
          <w:sz w:val="24"/>
        </w:rPr>
        <w:t>1.</w:t>
      </w:r>
      <w:r w:rsidR="007E37D0">
        <w:rPr>
          <w:sz w:val="24"/>
        </w:rPr>
        <w:t>277.500,00</w:t>
      </w:r>
      <w:r w:rsidR="00F84877">
        <w:rPr>
          <w:sz w:val="24"/>
        </w:rPr>
        <w:t>.</w:t>
      </w:r>
    </w:p>
    <w:p w:rsidR="002A2ABC" w:rsidRDefault="00B25D4B" w:rsidP="00057500">
      <w:pPr>
        <w:spacing w:line="360" w:lineRule="auto"/>
        <w:jc w:val="both"/>
        <w:rPr>
          <w:sz w:val="24"/>
        </w:rPr>
      </w:pPr>
      <w:r>
        <w:rPr>
          <w:sz w:val="24"/>
        </w:rPr>
        <w:t>I</w:t>
      </w:r>
      <w:r w:rsidR="00B53BFE">
        <w:rPr>
          <w:sz w:val="24"/>
        </w:rPr>
        <w:t xml:space="preserve">l contributo ordinario per spese di funzionamento della Comunità del Parco </w:t>
      </w:r>
      <w:r>
        <w:rPr>
          <w:sz w:val="24"/>
        </w:rPr>
        <w:t>rimane dello stesso importo assestato 2012 anche se diminuisce rispetto al 2010-2011.</w:t>
      </w:r>
    </w:p>
    <w:p w:rsidR="00B53BFE" w:rsidRDefault="00B53BFE" w:rsidP="00057500">
      <w:pPr>
        <w:spacing w:line="360" w:lineRule="auto"/>
        <w:jc w:val="both"/>
        <w:rPr>
          <w:sz w:val="24"/>
        </w:rPr>
      </w:pPr>
      <w:r>
        <w:rPr>
          <w:sz w:val="24"/>
        </w:rPr>
        <w:t xml:space="preserve"> Il contributo complessivamente passa</w:t>
      </w:r>
      <w:r w:rsidR="00B25D4B">
        <w:rPr>
          <w:sz w:val="24"/>
        </w:rPr>
        <w:t xml:space="preserve"> infatti</w:t>
      </w:r>
      <w:r>
        <w:rPr>
          <w:sz w:val="24"/>
        </w:rPr>
        <w:t xml:space="preserve"> d</w:t>
      </w:r>
      <w:r w:rsidR="002A2ABC">
        <w:rPr>
          <w:sz w:val="24"/>
        </w:rPr>
        <w:t xml:space="preserve">a € 390.569,05 </w:t>
      </w:r>
      <w:r>
        <w:rPr>
          <w:sz w:val="24"/>
        </w:rPr>
        <w:t>a</w:t>
      </w:r>
      <w:r w:rsidR="00B25D4B">
        <w:rPr>
          <w:sz w:val="24"/>
        </w:rPr>
        <w:t>d</w:t>
      </w:r>
      <w:r>
        <w:rPr>
          <w:sz w:val="24"/>
        </w:rPr>
        <w:t xml:space="preserve"> € </w:t>
      </w:r>
      <w:r w:rsidR="00B25D4B">
        <w:rPr>
          <w:sz w:val="24"/>
        </w:rPr>
        <w:t>344.813,17</w:t>
      </w:r>
    </w:p>
    <w:p w:rsidR="006C50B4" w:rsidRDefault="00E75633" w:rsidP="00057500">
      <w:pPr>
        <w:numPr>
          <w:ilvl w:val="0"/>
          <w:numId w:val="2"/>
        </w:numPr>
        <w:tabs>
          <w:tab w:val="clear" w:pos="360"/>
          <w:tab w:val="num" w:pos="420"/>
        </w:tabs>
        <w:spacing w:line="360" w:lineRule="auto"/>
        <w:ind w:left="0" w:firstLine="0"/>
        <w:jc w:val="both"/>
        <w:rPr>
          <w:sz w:val="24"/>
        </w:rPr>
      </w:pPr>
      <w:r>
        <w:rPr>
          <w:sz w:val="24"/>
        </w:rPr>
        <w:t xml:space="preserve">ad </w:t>
      </w:r>
      <w:r w:rsidR="00B71D37">
        <w:rPr>
          <w:sz w:val="24"/>
        </w:rPr>
        <w:t>un</w:t>
      </w:r>
      <w:r w:rsidR="007F1DBD">
        <w:rPr>
          <w:sz w:val="24"/>
        </w:rPr>
        <w:t>a diminuzione</w:t>
      </w:r>
      <w:r>
        <w:rPr>
          <w:sz w:val="24"/>
        </w:rPr>
        <w:t xml:space="preserve"> delle entrate del Titolo II </w:t>
      </w:r>
      <w:r w:rsidR="006C50B4">
        <w:rPr>
          <w:sz w:val="24"/>
        </w:rPr>
        <w:t>derivanti dai contributi ordi</w:t>
      </w:r>
      <w:r w:rsidR="007F1DBD">
        <w:rPr>
          <w:sz w:val="24"/>
        </w:rPr>
        <w:t>nari finalizzati  che passano dal dato assestato 2012 di €65.418,10</w:t>
      </w:r>
      <w:r w:rsidR="006C50B4">
        <w:rPr>
          <w:sz w:val="24"/>
        </w:rPr>
        <w:t xml:space="preserve"> ad  €</w:t>
      </w:r>
      <w:r w:rsidR="00B25D4B">
        <w:rPr>
          <w:sz w:val="24"/>
        </w:rPr>
        <w:t>55.918,10</w:t>
      </w:r>
      <w:r>
        <w:rPr>
          <w:sz w:val="24"/>
        </w:rPr>
        <w:t xml:space="preserve"> </w:t>
      </w:r>
      <w:r w:rsidR="006C50B4">
        <w:rPr>
          <w:sz w:val="24"/>
        </w:rPr>
        <w:t xml:space="preserve">per  un  importo pari a € </w:t>
      </w:r>
      <w:r w:rsidR="00B25D4B">
        <w:rPr>
          <w:sz w:val="24"/>
        </w:rPr>
        <w:t>9.500,00</w:t>
      </w:r>
      <w:r w:rsidR="006C50B4">
        <w:rPr>
          <w:sz w:val="24"/>
        </w:rPr>
        <w:t>.</w:t>
      </w:r>
    </w:p>
    <w:p w:rsidR="00FA0D87" w:rsidRDefault="00FA0D87" w:rsidP="00057500">
      <w:pPr>
        <w:pStyle w:val="Titolo3"/>
        <w:spacing w:line="360" w:lineRule="auto"/>
        <w:rPr>
          <w:b/>
          <w:u w:val="single"/>
        </w:rPr>
      </w:pPr>
    </w:p>
    <w:p w:rsidR="00FA0D87" w:rsidRPr="00A42B2D" w:rsidRDefault="00FA0D87" w:rsidP="00057500">
      <w:pPr>
        <w:pStyle w:val="Titolo3"/>
        <w:spacing w:line="360" w:lineRule="auto"/>
        <w:rPr>
          <w:b/>
          <w:u w:val="single"/>
        </w:rPr>
      </w:pPr>
      <w:r w:rsidRPr="00A42B2D">
        <w:rPr>
          <w:b/>
          <w:u w:val="single"/>
        </w:rPr>
        <w:t>ENTRATE CORRENTI - TITOLO II</w:t>
      </w:r>
      <w:r>
        <w:rPr>
          <w:b/>
          <w:u w:val="single"/>
        </w:rPr>
        <w:t>I</w:t>
      </w:r>
    </w:p>
    <w:p w:rsidR="00133DB0" w:rsidRDefault="00FA0D87" w:rsidP="00057500">
      <w:pPr>
        <w:spacing w:line="360" w:lineRule="auto"/>
        <w:jc w:val="both"/>
        <w:rPr>
          <w:sz w:val="24"/>
        </w:rPr>
      </w:pPr>
      <w:r>
        <w:rPr>
          <w:sz w:val="24"/>
        </w:rPr>
        <w:t>L</w:t>
      </w:r>
      <w:r w:rsidR="005F1467">
        <w:rPr>
          <w:sz w:val="24"/>
        </w:rPr>
        <w:t xml:space="preserve">e entrate </w:t>
      </w:r>
      <w:r>
        <w:rPr>
          <w:sz w:val="24"/>
        </w:rPr>
        <w:t xml:space="preserve">correnti </w:t>
      </w:r>
      <w:r w:rsidR="005F1467">
        <w:rPr>
          <w:sz w:val="24"/>
        </w:rPr>
        <w:t>del Titolo III (</w:t>
      </w:r>
      <w:r w:rsidR="000C3040">
        <w:rPr>
          <w:sz w:val="24"/>
        </w:rPr>
        <w:t>extratributarie)</w:t>
      </w:r>
      <w:r w:rsidR="00AB5106">
        <w:rPr>
          <w:sz w:val="24"/>
        </w:rPr>
        <w:t xml:space="preserve"> </w:t>
      </w:r>
      <w:r w:rsidR="00DA382F">
        <w:rPr>
          <w:sz w:val="24"/>
        </w:rPr>
        <w:t>vengono previste nell’importo pari ad</w:t>
      </w:r>
      <w:r w:rsidR="000C24CD">
        <w:rPr>
          <w:sz w:val="24"/>
        </w:rPr>
        <w:t xml:space="preserve">                 </w:t>
      </w:r>
      <w:r w:rsidR="00DA382F">
        <w:rPr>
          <w:sz w:val="24"/>
        </w:rPr>
        <w:t xml:space="preserve"> </w:t>
      </w:r>
      <w:r w:rsidR="000C3040">
        <w:rPr>
          <w:sz w:val="24"/>
        </w:rPr>
        <w:t xml:space="preserve">€ </w:t>
      </w:r>
      <w:r w:rsidR="00F84877">
        <w:rPr>
          <w:sz w:val="24"/>
        </w:rPr>
        <w:t>601.000</w:t>
      </w:r>
      <w:r w:rsidR="007F1DBD">
        <w:rPr>
          <w:sz w:val="24"/>
        </w:rPr>
        <w:t>,00</w:t>
      </w:r>
      <w:r w:rsidR="000C3040">
        <w:rPr>
          <w:sz w:val="24"/>
        </w:rPr>
        <w:t>.</w:t>
      </w:r>
    </w:p>
    <w:p w:rsidR="009C5F4E" w:rsidRDefault="009C5F4E" w:rsidP="00057500">
      <w:pPr>
        <w:spacing w:line="360" w:lineRule="auto"/>
        <w:jc w:val="both"/>
        <w:rPr>
          <w:sz w:val="24"/>
        </w:rPr>
      </w:pPr>
      <w:r>
        <w:rPr>
          <w:sz w:val="24"/>
        </w:rPr>
        <w:t>Il dato assestato 2012 ammonta ad € 587.800,30.</w:t>
      </w:r>
    </w:p>
    <w:p w:rsidR="000F3D0C" w:rsidRDefault="00DA48B0" w:rsidP="00057500">
      <w:pPr>
        <w:spacing w:line="360" w:lineRule="auto"/>
        <w:jc w:val="both"/>
        <w:rPr>
          <w:sz w:val="24"/>
        </w:rPr>
      </w:pPr>
      <w:r>
        <w:rPr>
          <w:sz w:val="24"/>
        </w:rPr>
        <w:t xml:space="preserve">Nell’esercizio </w:t>
      </w:r>
      <w:r w:rsidR="005F1467">
        <w:rPr>
          <w:sz w:val="24"/>
        </w:rPr>
        <w:t>finanziario 20</w:t>
      </w:r>
      <w:r w:rsidR="00FA0D87">
        <w:rPr>
          <w:sz w:val="24"/>
        </w:rPr>
        <w:t>11</w:t>
      </w:r>
      <w:r w:rsidR="00DA382F">
        <w:rPr>
          <w:sz w:val="24"/>
        </w:rPr>
        <w:t xml:space="preserve"> </w:t>
      </w:r>
      <w:r w:rsidR="0029090F">
        <w:rPr>
          <w:sz w:val="24"/>
        </w:rPr>
        <w:t xml:space="preserve">il dato </w:t>
      </w:r>
      <w:r w:rsidR="00FA0D87">
        <w:rPr>
          <w:sz w:val="24"/>
        </w:rPr>
        <w:t>accertato</w:t>
      </w:r>
      <w:r w:rsidR="00E3714F">
        <w:rPr>
          <w:sz w:val="24"/>
        </w:rPr>
        <w:t xml:space="preserve"> </w:t>
      </w:r>
      <w:r w:rsidR="00FA0D87">
        <w:rPr>
          <w:sz w:val="24"/>
        </w:rPr>
        <w:t xml:space="preserve">al 31/12/2011 </w:t>
      </w:r>
      <w:r w:rsidR="00E3714F">
        <w:rPr>
          <w:sz w:val="24"/>
        </w:rPr>
        <w:t xml:space="preserve">ammonta ad € </w:t>
      </w:r>
      <w:r w:rsidR="00341700">
        <w:rPr>
          <w:sz w:val="24"/>
        </w:rPr>
        <w:t>608.173,49</w:t>
      </w:r>
      <w:r w:rsidR="00E3714F">
        <w:rPr>
          <w:sz w:val="24"/>
        </w:rPr>
        <w:t xml:space="preserve"> e il dato </w:t>
      </w:r>
      <w:r w:rsidR="0029090F">
        <w:rPr>
          <w:sz w:val="24"/>
        </w:rPr>
        <w:t xml:space="preserve">accertato </w:t>
      </w:r>
      <w:r w:rsidR="00E3714F">
        <w:rPr>
          <w:sz w:val="24"/>
        </w:rPr>
        <w:t xml:space="preserve">al 31/12/2010 </w:t>
      </w:r>
      <w:r w:rsidR="0029090F">
        <w:rPr>
          <w:sz w:val="24"/>
        </w:rPr>
        <w:t>ammonta</w:t>
      </w:r>
      <w:r w:rsidR="000F3D0C">
        <w:rPr>
          <w:sz w:val="24"/>
        </w:rPr>
        <w:t xml:space="preserve"> </w:t>
      </w:r>
      <w:r w:rsidR="000F3D0C" w:rsidRPr="0029090F">
        <w:rPr>
          <w:sz w:val="24"/>
        </w:rPr>
        <w:t xml:space="preserve">ad € </w:t>
      </w:r>
      <w:r w:rsidR="00FA0D87">
        <w:rPr>
          <w:sz w:val="24"/>
        </w:rPr>
        <w:t>510.024,63</w:t>
      </w:r>
      <w:r w:rsidRPr="0029090F">
        <w:rPr>
          <w:sz w:val="24"/>
        </w:rPr>
        <w:t>.</w:t>
      </w:r>
      <w:r w:rsidR="000C3040" w:rsidRPr="0029090F">
        <w:rPr>
          <w:sz w:val="24"/>
        </w:rPr>
        <w:t xml:space="preserve"> </w:t>
      </w:r>
    </w:p>
    <w:p w:rsidR="009C5F4E" w:rsidRDefault="009C5F4E" w:rsidP="00057500">
      <w:pPr>
        <w:spacing w:line="360" w:lineRule="auto"/>
        <w:jc w:val="both"/>
        <w:rPr>
          <w:sz w:val="24"/>
        </w:rPr>
      </w:pPr>
      <w:r>
        <w:rPr>
          <w:sz w:val="24"/>
        </w:rPr>
        <w:t>Il dato previsto in bilancio è in linea con l’andamento degli ultimi anni e tiene conto del particolare momento di crisi</w:t>
      </w:r>
      <w:r w:rsidR="00F84877">
        <w:rPr>
          <w:sz w:val="24"/>
        </w:rPr>
        <w:t xml:space="preserve"> che sta attraversando il </w:t>
      </w:r>
      <w:r>
        <w:rPr>
          <w:sz w:val="24"/>
        </w:rPr>
        <w:t>settore turistico a livello nazionale.</w:t>
      </w:r>
    </w:p>
    <w:p w:rsidR="009C5F4E" w:rsidRDefault="009C5F4E" w:rsidP="00057500">
      <w:pPr>
        <w:spacing w:line="360" w:lineRule="auto"/>
        <w:jc w:val="both"/>
        <w:rPr>
          <w:sz w:val="24"/>
        </w:rPr>
      </w:pPr>
    </w:p>
    <w:p w:rsidR="000C3040" w:rsidRDefault="00AE5CCD" w:rsidP="00057500">
      <w:pPr>
        <w:spacing w:line="360" w:lineRule="auto"/>
        <w:jc w:val="both"/>
        <w:rPr>
          <w:sz w:val="24"/>
        </w:rPr>
      </w:pPr>
      <w:r w:rsidRPr="009C5E3E">
        <w:rPr>
          <w:b/>
          <w:sz w:val="24"/>
          <w:u w:val="single"/>
        </w:rPr>
        <w:t>Nella Tavola</w:t>
      </w:r>
      <w:r w:rsidR="000C3040" w:rsidRPr="009C5E3E">
        <w:rPr>
          <w:b/>
          <w:sz w:val="24"/>
          <w:u w:val="single"/>
        </w:rPr>
        <w:t xml:space="preserve"> n.</w:t>
      </w:r>
      <w:r w:rsidR="00512EB2" w:rsidRPr="009C5E3E">
        <w:rPr>
          <w:b/>
          <w:sz w:val="24"/>
          <w:u w:val="single"/>
        </w:rPr>
        <w:t xml:space="preserve"> </w:t>
      </w:r>
      <w:r w:rsidR="000C3040" w:rsidRPr="009C5E3E">
        <w:rPr>
          <w:b/>
          <w:sz w:val="24"/>
          <w:u w:val="single"/>
        </w:rPr>
        <w:t xml:space="preserve">1 e è sintetizzato l’andamento delle Entrate correnti </w:t>
      </w:r>
      <w:r w:rsidRPr="009C5E3E">
        <w:rPr>
          <w:b/>
          <w:sz w:val="24"/>
          <w:u w:val="single"/>
        </w:rPr>
        <w:t>( Titolo II + Titolo III)</w:t>
      </w:r>
      <w:r>
        <w:rPr>
          <w:sz w:val="24"/>
        </w:rPr>
        <w:t xml:space="preserve"> </w:t>
      </w:r>
      <w:r w:rsidR="00C51433">
        <w:rPr>
          <w:sz w:val="24"/>
        </w:rPr>
        <w:t xml:space="preserve">accertate </w:t>
      </w:r>
      <w:r w:rsidR="000C3040" w:rsidRPr="00CC1217">
        <w:rPr>
          <w:sz w:val="24"/>
        </w:rPr>
        <w:t>suddiviso in funzione delle diverse fonti di finanziamento, per ognuna delle quali è evidenziato l’andamento storico per quanto riguarda gli ultimi tre esercizi e la possibile programmazion</w:t>
      </w:r>
      <w:r w:rsidR="00A579FF">
        <w:rPr>
          <w:sz w:val="24"/>
        </w:rPr>
        <w:t>e triennale per l’esercizio 20</w:t>
      </w:r>
      <w:r w:rsidR="008D0690">
        <w:rPr>
          <w:sz w:val="24"/>
        </w:rPr>
        <w:t>1</w:t>
      </w:r>
      <w:r w:rsidR="009C5F4E">
        <w:rPr>
          <w:sz w:val="24"/>
        </w:rPr>
        <w:t>3</w:t>
      </w:r>
      <w:r w:rsidR="000C3040" w:rsidRPr="00CC1217">
        <w:rPr>
          <w:sz w:val="24"/>
        </w:rPr>
        <w:t xml:space="preserve"> e per </w:t>
      </w:r>
      <w:r w:rsidR="004F656A">
        <w:rPr>
          <w:sz w:val="24"/>
        </w:rPr>
        <w:t>i due ulteriori esercizi futuri:</w:t>
      </w:r>
    </w:p>
    <w:p w:rsidR="0080323D" w:rsidRDefault="0080323D" w:rsidP="00057500">
      <w:pPr>
        <w:spacing w:line="360" w:lineRule="auto"/>
        <w:jc w:val="both"/>
        <w:rPr>
          <w:sz w:val="24"/>
        </w:rPr>
      </w:pPr>
    </w:p>
    <w:bookmarkStart w:id="0" w:name="_MON_1359615750"/>
    <w:bookmarkStart w:id="1" w:name="_MON_1359615996"/>
    <w:bookmarkStart w:id="2" w:name="_MON_1359616133"/>
    <w:bookmarkStart w:id="3" w:name="_MON_1359617181"/>
    <w:bookmarkStart w:id="4" w:name="_MON_1359617383"/>
    <w:bookmarkStart w:id="5" w:name="_MON_1359638392"/>
    <w:bookmarkStart w:id="6" w:name="_MON_1359638628"/>
    <w:bookmarkStart w:id="7" w:name="_MON_1359638751"/>
    <w:bookmarkStart w:id="8" w:name="_MON_1359638797"/>
    <w:bookmarkStart w:id="9" w:name="_MON_1359638812"/>
    <w:bookmarkStart w:id="10" w:name="_MON_1359640749"/>
    <w:bookmarkStart w:id="11" w:name="_MON_1359640873"/>
    <w:bookmarkStart w:id="12" w:name="_MON_1360491775"/>
    <w:bookmarkStart w:id="13" w:name="_MON_1361702149"/>
    <w:bookmarkStart w:id="14" w:name="_MON_1388909128"/>
    <w:bookmarkStart w:id="15" w:name="_MON_1388909606"/>
    <w:bookmarkStart w:id="16" w:name="_MON_1388910085"/>
    <w:bookmarkStart w:id="17" w:name="_MON_1388910741"/>
    <w:bookmarkStart w:id="18" w:name="_MON_1388912413"/>
    <w:bookmarkStart w:id="19" w:name="_MON_1388912512"/>
    <w:bookmarkStart w:id="20" w:name="_MON_1388914791"/>
    <w:bookmarkStart w:id="21" w:name="_MON_1389447251"/>
    <w:bookmarkStart w:id="22" w:name="_MON_1389447403"/>
    <w:bookmarkStart w:id="23" w:name="_MON_1391172588"/>
    <w:bookmarkStart w:id="24" w:name="_MON_1416051146"/>
    <w:bookmarkStart w:id="25" w:name="_MON_1416051349"/>
    <w:bookmarkStart w:id="26" w:name="_MON_14161192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Start w:id="27" w:name="_MON_1359615449"/>
    <w:bookmarkEnd w:id="27"/>
    <w:p w:rsidR="000C3040" w:rsidRDefault="002B1903" w:rsidP="00057500">
      <w:pPr>
        <w:spacing w:line="360" w:lineRule="auto"/>
        <w:jc w:val="both"/>
        <w:rPr>
          <w:sz w:val="24"/>
        </w:rPr>
      </w:pPr>
      <w:r w:rsidRPr="00FC25CC">
        <w:rPr>
          <w:sz w:val="24"/>
        </w:rPr>
        <w:object w:dxaOrig="10213" w:dyaOrig="3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185.25pt" o:ole="" o:bordertopcolor="this" o:borderbottomcolor="this" o:borderrightcolor="this">
            <v:imagedata r:id="rId7" o:title=""/>
            <w10:bordertop type="single" width="4"/>
            <w10:borderbottom type="single" width="4"/>
            <w10:borderright type="single" width="4"/>
          </v:shape>
          <o:OLEObject Type="Embed" ProgID="Excel.Sheet.8" ShapeID="_x0000_i1025" DrawAspect="Content" ObjectID="_1615021674" r:id="rId8"/>
        </w:object>
      </w:r>
    </w:p>
    <w:p w:rsidR="004D71F2" w:rsidRDefault="004D71F2" w:rsidP="00057500">
      <w:pPr>
        <w:spacing w:line="360" w:lineRule="auto"/>
        <w:jc w:val="both"/>
        <w:rPr>
          <w:sz w:val="24"/>
        </w:rPr>
      </w:pPr>
    </w:p>
    <w:p w:rsidR="004D71F2" w:rsidRDefault="00AE5CCD" w:rsidP="00057500">
      <w:pPr>
        <w:spacing w:line="360" w:lineRule="auto"/>
        <w:jc w:val="both"/>
        <w:rPr>
          <w:sz w:val="24"/>
        </w:rPr>
      </w:pPr>
      <w:r w:rsidRPr="009C5E3E">
        <w:rPr>
          <w:b/>
          <w:sz w:val="24"/>
          <w:u w:val="single"/>
        </w:rPr>
        <w:t xml:space="preserve">Nella Tavola n. 2 viene messo in evidenza l’andamento dei trasferimenti correnti, </w:t>
      </w:r>
      <w:r w:rsidR="004F656A" w:rsidRPr="009C5E3E">
        <w:rPr>
          <w:b/>
          <w:sz w:val="24"/>
          <w:u w:val="single"/>
        </w:rPr>
        <w:t>al netto di quelli finalizzati,</w:t>
      </w:r>
      <w:r w:rsidR="004F656A">
        <w:rPr>
          <w:sz w:val="24"/>
        </w:rPr>
        <w:t xml:space="preserve"> </w:t>
      </w:r>
      <w:r>
        <w:rPr>
          <w:sz w:val="24"/>
        </w:rPr>
        <w:t>destinati a finanziare, insieme alle entrate proprie</w:t>
      </w:r>
      <w:r w:rsidR="004F656A">
        <w:rPr>
          <w:sz w:val="24"/>
        </w:rPr>
        <w:t xml:space="preserve"> </w:t>
      </w:r>
      <w:r>
        <w:rPr>
          <w:sz w:val="24"/>
        </w:rPr>
        <w:t>-</w:t>
      </w:r>
      <w:r w:rsidR="004F656A">
        <w:rPr>
          <w:sz w:val="24"/>
        </w:rPr>
        <w:t xml:space="preserve"> </w:t>
      </w:r>
      <w:r>
        <w:rPr>
          <w:sz w:val="24"/>
        </w:rPr>
        <w:t>extratribut</w:t>
      </w:r>
      <w:r w:rsidR="004F656A">
        <w:rPr>
          <w:sz w:val="24"/>
        </w:rPr>
        <w:t>arie, le spese di funzionamento:</w:t>
      </w:r>
    </w:p>
    <w:p w:rsidR="004D71F2" w:rsidRDefault="004D71F2" w:rsidP="00057500">
      <w:pPr>
        <w:spacing w:line="360" w:lineRule="auto"/>
        <w:jc w:val="both"/>
        <w:rPr>
          <w:sz w:val="24"/>
        </w:rPr>
      </w:pPr>
    </w:p>
    <w:bookmarkStart w:id="28" w:name="_MON_1359637638"/>
    <w:bookmarkStart w:id="29" w:name="_MON_1359637694"/>
    <w:bookmarkStart w:id="30" w:name="_MON_1359637904"/>
    <w:bookmarkStart w:id="31" w:name="_MON_1359637951"/>
    <w:bookmarkStart w:id="32" w:name="_MON_1359638006"/>
    <w:bookmarkStart w:id="33" w:name="_MON_1359638219"/>
    <w:bookmarkStart w:id="34" w:name="_MON_1359638564"/>
    <w:bookmarkStart w:id="35" w:name="_MON_1359638670"/>
    <w:bookmarkStart w:id="36" w:name="_MON_1359638692"/>
    <w:bookmarkStart w:id="37" w:name="_MON_1359639371"/>
    <w:bookmarkStart w:id="38" w:name="_MON_1359639638"/>
    <w:bookmarkStart w:id="39" w:name="_MON_1359639743"/>
    <w:bookmarkStart w:id="40" w:name="_MON_1359639757"/>
    <w:bookmarkStart w:id="41" w:name="_MON_1359639773"/>
    <w:bookmarkStart w:id="42" w:name="_MON_1359639821"/>
    <w:bookmarkStart w:id="43" w:name="_MON_1359639849"/>
    <w:bookmarkStart w:id="44" w:name="_MON_1359640719"/>
    <w:bookmarkStart w:id="45" w:name="_MON_1360491986"/>
    <w:bookmarkStart w:id="46" w:name="_MON_1360492167"/>
    <w:bookmarkStart w:id="47" w:name="_MON_1360492485"/>
    <w:bookmarkStart w:id="48" w:name="_MON_1360931726"/>
    <w:bookmarkStart w:id="49" w:name="_MON_1361702455"/>
    <w:bookmarkStart w:id="50" w:name="_MON_1361702544"/>
    <w:bookmarkStart w:id="51" w:name="_MON_1388910464"/>
    <w:bookmarkStart w:id="52" w:name="_MON_1388910748"/>
    <w:bookmarkStart w:id="53" w:name="_MON_1388912367"/>
    <w:bookmarkStart w:id="54" w:name="_MON_1388912428"/>
    <w:bookmarkStart w:id="55" w:name="_MON_1388912475"/>
    <w:bookmarkStart w:id="56" w:name="_MON_1388912497"/>
    <w:bookmarkStart w:id="57" w:name="_MON_1388912551"/>
    <w:bookmarkStart w:id="58" w:name="_MON_1388912765"/>
    <w:bookmarkStart w:id="59" w:name="_MON_1388912823"/>
    <w:bookmarkStart w:id="60" w:name="_MON_1388912896"/>
    <w:bookmarkStart w:id="61" w:name="_MON_1388912984"/>
    <w:bookmarkStart w:id="62" w:name="_MON_1389447354"/>
    <w:bookmarkStart w:id="63" w:name="_MON_1391172733"/>
    <w:bookmarkStart w:id="64" w:name="_MON_141611924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Start w:id="65" w:name="_MON_1359637453"/>
    <w:bookmarkEnd w:id="65"/>
    <w:p w:rsidR="00DC3014" w:rsidRDefault="00AB08DD" w:rsidP="00057500">
      <w:pPr>
        <w:spacing w:line="360" w:lineRule="auto"/>
        <w:jc w:val="center"/>
        <w:rPr>
          <w:sz w:val="24"/>
        </w:rPr>
      </w:pPr>
      <w:r w:rsidRPr="00FC25CC">
        <w:rPr>
          <w:sz w:val="24"/>
        </w:rPr>
        <w:object w:dxaOrig="10235" w:dyaOrig="2984">
          <v:shape id="_x0000_i1026" type="#_x0000_t75" style="width:511.5pt;height:149.25pt" o:ole="">
            <v:imagedata r:id="rId9" o:title=""/>
          </v:shape>
          <o:OLEObject Type="Embed" ProgID="Excel.Sheet.8" ShapeID="_x0000_i1026" DrawAspect="Content" ObjectID="_1615021675" r:id="rId10"/>
        </w:object>
      </w:r>
    </w:p>
    <w:p w:rsidR="007938EC" w:rsidRDefault="00477B87" w:rsidP="00057500">
      <w:pPr>
        <w:spacing w:line="360" w:lineRule="auto"/>
        <w:jc w:val="center"/>
        <w:rPr>
          <w:b/>
        </w:rPr>
      </w:pPr>
      <w:r w:rsidRPr="006B4905">
        <w:rPr>
          <w:b/>
        </w:rPr>
        <w:t xml:space="preserve">TREND </w:t>
      </w:r>
      <w:r w:rsidR="004D71F2">
        <w:rPr>
          <w:b/>
        </w:rPr>
        <w:t>TRASFERIMENTI</w:t>
      </w:r>
      <w:r w:rsidRPr="006B4905">
        <w:rPr>
          <w:b/>
        </w:rPr>
        <w:t xml:space="preserve"> CORRENTI</w:t>
      </w:r>
      <w:r w:rsidR="00403A9F">
        <w:rPr>
          <w:b/>
        </w:rPr>
        <w:t xml:space="preserve"> </w:t>
      </w:r>
      <w:r w:rsidR="007938EC">
        <w:rPr>
          <w:b/>
        </w:rPr>
        <w:t xml:space="preserve">ALLE </w:t>
      </w:r>
      <w:r w:rsidR="00403A9F">
        <w:rPr>
          <w:b/>
        </w:rPr>
        <w:t>SPESE DI FUNZIONAMENTO</w:t>
      </w:r>
      <w:r w:rsidR="007938EC">
        <w:rPr>
          <w:b/>
        </w:rPr>
        <w:t xml:space="preserve"> </w:t>
      </w:r>
    </w:p>
    <w:p w:rsidR="00477B87" w:rsidRPr="006B4905" w:rsidRDefault="007938EC" w:rsidP="00057500">
      <w:pPr>
        <w:spacing w:line="360" w:lineRule="auto"/>
        <w:jc w:val="center"/>
        <w:rPr>
          <w:b/>
        </w:rPr>
      </w:pPr>
      <w:r>
        <w:rPr>
          <w:b/>
        </w:rPr>
        <w:t>AL NETTO DELLE ENTRATE PROPRIE</w:t>
      </w:r>
    </w:p>
    <w:p w:rsidR="00A141C8" w:rsidRDefault="00FE440A" w:rsidP="00057500">
      <w:pPr>
        <w:spacing w:line="360" w:lineRule="auto"/>
        <w:ind w:left="-426" w:right="283" w:firstLine="426"/>
        <w:jc w:val="center"/>
        <w:rPr>
          <w:sz w:val="24"/>
        </w:rPr>
      </w:pPr>
      <w:r w:rsidRPr="00403A9F">
        <w:rPr>
          <w:noProof/>
          <w:sz w:val="24"/>
        </w:rPr>
        <w:drawing>
          <wp:inline distT="0" distB="0" distL="0" distR="0">
            <wp:extent cx="4762500" cy="2114550"/>
            <wp:effectExtent l="0" t="0" r="0" b="0"/>
            <wp:docPr id="5" name="Ogget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3B4F" w:rsidRDefault="00493B4F" w:rsidP="00057500">
      <w:pPr>
        <w:spacing w:line="360" w:lineRule="auto"/>
        <w:rPr>
          <w:sz w:val="24"/>
        </w:rPr>
      </w:pPr>
      <w:r>
        <w:rPr>
          <w:sz w:val="24"/>
        </w:rPr>
        <w:lastRenderedPageBreak/>
        <w:t>Diminuiscono</w:t>
      </w:r>
      <w:r w:rsidR="007938EC">
        <w:rPr>
          <w:sz w:val="24"/>
        </w:rPr>
        <w:t xml:space="preserve"> sensibilmente </w:t>
      </w:r>
      <w:r>
        <w:rPr>
          <w:sz w:val="24"/>
        </w:rPr>
        <w:t xml:space="preserve">i trasferimenti correnti a finanziamento delle spese di funzionamento </w:t>
      </w:r>
      <w:r w:rsidR="007938EC">
        <w:rPr>
          <w:sz w:val="24"/>
        </w:rPr>
        <w:t xml:space="preserve">per i minori trasferimenti regionali che </w:t>
      </w:r>
      <w:r w:rsidR="004C34FF">
        <w:rPr>
          <w:sz w:val="24"/>
        </w:rPr>
        <w:t>dopo la riduzione di un 5% rispetto il 2010 diminuiscono di un ulteriore 7,60% .</w:t>
      </w:r>
    </w:p>
    <w:p w:rsidR="00EA2228" w:rsidRDefault="00EA2228" w:rsidP="007F7669">
      <w:pPr>
        <w:spacing w:line="360" w:lineRule="auto"/>
        <w:jc w:val="both"/>
        <w:rPr>
          <w:sz w:val="24"/>
          <w:szCs w:val="24"/>
        </w:rPr>
      </w:pPr>
    </w:p>
    <w:p w:rsidR="00BA595A" w:rsidRDefault="00BA595A" w:rsidP="00057500">
      <w:pPr>
        <w:spacing w:line="360" w:lineRule="auto"/>
        <w:jc w:val="both"/>
        <w:rPr>
          <w:sz w:val="24"/>
        </w:rPr>
      </w:pPr>
      <w:r w:rsidRPr="009C5E3E">
        <w:rPr>
          <w:b/>
          <w:sz w:val="24"/>
          <w:u w:val="single"/>
        </w:rPr>
        <w:t>Nella tavola n. 3 è sintetizzato l’andamento dei trasferimenti correnti suddivisi in funzione delle diverse fonti di finanziamento</w:t>
      </w:r>
      <w:r>
        <w:rPr>
          <w:sz w:val="24"/>
        </w:rPr>
        <w:t xml:space="preserve"> per ognuna delle quali è evidenziato l’andamento storico per quanto riguarda gli ultimi tre esercizi e la possibile programmazion</w:t>
      </w:r>
      <w:r w:rsidR="00EA2228">
        <w:rPr>
          <w:sz w:val="24"/>
        </w:rPr>
        <w:t>e triennale per l’esercizio 2013</w:t>
      </w:r>
      <w:r>
        <w:rPr>
          <w:sz w:val="24"/>
        </w:rPr>
        <w:t xml:space="preserve"> e per i due ulteriori esercizi futuri.</w:t>
      </w:r>
    </w:p>
    <w:bookmarkStart w:id="66" w:name="_MON_1359617672"/>
    <w:bookmarkStart w:id="67" w:name="_MON_1359617690"/>
    <w:bookmarkStart w:id="68" w:name="_MON_1359617699"/>
    <w:bookmarkStart w:id="69" w:name="_MON_1359617742"/>
    <w:bookmarkStart w:id="70" w:name="_MON_1359618222"/>
    <w:bookmarkStart w:id="71" w:name="_MON_1359639977"/>
    <w:bookmarkStart w:id="72" w:name="_MON_1359640029"/>
    <w:bookmarkStart w:id="73" w:name="_MON_1359640193"/>
    <w:bookmarkStart w:id="74" w:name="_MON_1359640459"/>
    <w:bookmarkStart w:id="75" w:name="_MON_1359640814"/>
    <w:bookmarkStart w:id="76" w:name="_MON_1359640908"/>
    <w:bookmarkStart w:id="77" w:name="_MON_1359641053"/>
    <w:bookmarkStart w:id="78" w:name="_MON_1360492276"/>
    <w:bookmarkStart w:id="79" w:name="_MON_1360492380"/>
    <w:bookmarkStart w:id="80" w:name="_MON_1360492573"/>
    <w:bookmarkStart w:id="81" w:name="_MON_1361702629"/>
    <w:bookmarkStart w:id="82" w:name="_MON_1388914243"/>
    <w:bookmarkStart w:id="83" w:name="_MON_1388914338"/>
    <w:bookmarkStart w:id="84" w:name="_MON_1388914942"/>
    <w:bookmarkStart w:id="85" w:name="_MON_1388915062"/>
    <w:bookmarkStart w:id="86" w:name="_MON_1388915114"/>
    <w:bookmarkStart w:id="87" w:name="_MON_1388915235"/>
    <w:bookmarkStart w:id="88" w:name="_MON_1389447884"/>
    <w:bookmarkStart w:id="89" w:name="_MON_1389448050"/>
    <w:bookmarkStart w:id="90" w:name="_MON_1391173397"/>
    <w:bookmarkStart w:id="91" w:name="_MON_141611948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Start w:id="92" w:name="_MON_1359617648"/>
    <w:bookmarkEnd w:id="92"/>
    <w:p w:rsidR="00BA595A" w:rsidRDefault="00060C6E" w:rsidP="00057500">
      <w:pPr>
        <w:spacing w:line="360" w:lineRule="auto"/>
        <w:jc w:val="both"/>
        <w:rPr>
          <w:sz w:val="24"/>
          <w:szCs w:val="24"/>
        </w:rPr>
      </w:pPr>
      <w:r w:rsidRPr="00FE2291">
        <w:rPr>
          <w:sz w:val="24"/>
        </w:rPr>
        <w:object w:dxaOrig="10735" w:dyaOrig="5720">
          <v:shape id="_x0000_i1027" type="#_x0000_t75" style="width:499.5pt;height:266.25pt" o:ole="">
            <v:imagedata r:id="rId12" o:title=""/>
          </v:shape>
          <o:OLEObject Type="Embed" ProgID="Excel.Sheet.8" ShapeID="_x0000_i1027" DrawAspect="Content" ObjectID="_1615021676" r:id="rId13"/>
        </w:object>
      </w:r>
    </w:p>
    <w:p w:rsidR="00BA595A" w:rsidRDefault="00BA595A" w:rsidP="00057500">
      <w:pPr>
        <w:spacing w:line="360" w:lineRule="auto"/>
        <w:jc w:val="both"/>
        <w:rPr>
          <w:sz w:val="24"/>
          <w:szCs w:val="24"/>
        </w:rPr>
      </w:pPr>
    </w:p>
    <w:p w:rsidR="00BB3B7B" w:rsidRDefault="00BB3B7B" w:rsidP="00057500">
      <w:pPr>
        <w:spacing w:line="360" w:lineRule="auto"/>
        <w:jc w:val="both"/>
        <w:rPr>
          <w:sz w:val="24"/>
        </w:rPr>
      </w:pPr>
    </w:p>
    <w:p w:rsidR="00BB3B7B" w:rsidRDefault="00BB3B7B" w:rsidP="00057500">
      <w:pPr>
        <w:spacing w:line="360" w:lineRule="auto"/>
        <w:jc w:val="both"/>
        <w:rPr>
          <w:sz w:val="24"/>
        </w:rPr>
      </w:pPr>
      <w:r w:rsidRPr="009C5E3E">
        <w:rPr>
          <w:b/>
          <w:sz w:val="24"/>
          <w:u w:val="single"/>
        </w:rPr>
        <w:t>Nella tavola n.</w:t>
      </w:r>
      <w:r w:rsidR="00DC3014" w:rsidRPr="009C5E3E">
        <w:rPr>
          <w:b/>
          <w:sz w:val="24"/>
          <w:u w:val="single"/>
        </w:rPr>
        <w:t>4</w:t>
      </w:r>
      <w:r w:rsidRPr="009C5E3E">
        <w:rPr>
          <w:b/>
          <w:sz w:val="24"/>
          <w:u w:val="single"/>
        </w:rPr>
        <w:t xml:space="preserve"> è sintetizzato l’andamento delle entrate extra-tributarie suddivise in funzione  delle diverse fonti di finanziamento</w:t>
      </w:r>
      <w:r>
        <w:rPr>
          <w:sz w:val="24"/>
        </w:rPr>
        <w:t xml:space="preserve"> per ognuna delle quali è evidenziato l’andamento storico per quanto riguarda gli ultimi tre esercizi e la possibile programmazion</w:t>
      </w:r>
      <w:r w:rsidR="008C495A">
        <w:rPr>
          <w:sz w:val="24"/>
        </w:rPr>
        <w:t xml:space="preserve">e triennale per l’esercizio 2013 </w:t>
      </w:r>
      <w:r>
        <w:rPr>
          <w:sz w:val="24"/>
        </w:rPr>
        <w:t>e per i due ulteriori esercizi futuri.</w:t>
      </w:r>
    </w:p>
    <w:p w:rsidR="00A4081D" w:rsidRDefault="00A4081D" w:rsidP="00057500">
      <w:pPr>
        <w:spacing w:line="360" w:lineRule="auto"/>
        <w:jc w:val="both"/>
        <w:rPr>
          <w:sz w:val="24"/>
        </w:rPr>
      </w:pPr>
    </w:p>
    <w:bookmarkStart w:id="93" w:name="_MON_1359643480"/>
    <w:bookmarkStart w:id="94" w:name="_MON_1359643496"/>
    <w:bookmarkStart w:id="95" w:name="_MON_1359646648"/>
    <w:bookmarkStart w:id="96" w:name="_MON_1360492694"/>
    <w:bookmarkStart w:id="97" w:name="_MON_1360492727"/>
    <w:bookmarkStart w:id="98" w:name="_MON_1361702849"/>
    <w:bookmarkStart w:id="99" w:name="_MON_1388997290"/>
    <w:bookmarkStart w:id="100" w:name="_MON_1388998127"/>
    <w:bookmarkStart w:id="101" w:name="_MON_1389000843"/>
    <w:bookmarkStart w:id="102" w:name="_MON_1389001146"/>
    <w:bookmarkStart w:id="103" w:name="_MON_1389001164"/>
    <w:bookmarkStart w:id="104" w:name="_MON_1389448373"/>
    <w:bookmarkStart w:id="105" w:name="_MON_1391174646"/>
    <w:bookmarkEnd w:id="93"/>
    <w:bookmarkEnd w:id="94"/>
    <w:bookmarkEnd w:id="95"/>
    <w:bookmarkEnd w:id="96"/>
    <w:bookmarkEnd w:id="97"/>
    <w:bookmarkEnd w:id="98"/>
    <w:bookmarkEnd w:id="99"/>
    <w:bookmarkEnd w:id="100"/>
    <w:bookmarkEnd w:id="101"/>
    <w:bookmarkEnd w:id="102"/>
    <w:bookmarkEnd w:id="103"/>
    <w:bookmarkEnd w:id="104"/>
    <w:bookmarkEnd w:id="105"/>
    <w:bookmarkStart w:id="106" w:name="_MON_1359643017"/>
    <w:bookmarkEnd w:id="106"/>
    <w:p w:rsidR="00FC4D76" w:rsidRDefault="007F7077" w:rsidP="00057500">
      <w:pPr>
        <w:pStyle w:val="Corpotesto"/>
        <w:spacing w:line="360" w:lineRule="auto"/>
        <w:rPr>
          <w:b/>
          <w:bCs/>
          <w:u w:val="single"/>
        </w:rPr>
      </w:pPr>
      <w:r w:rsidRPr="00FE2291">
        <w:rPr>
          <w:b/>
          <w:bCs/>
          <w:u w:val="single"/>
        </w:rPr>
        <w:object w:dxaOrig="9962" w:dyaOrig="4548">
          <v:shape id="_x0000_i1028" type="#_x0000_t75" style="width:498pt;height:227.25pt" o:ole="">
            <v:imagedata r:id="rId14" o:title=""/>
          </v:shape>
          <o:OLEObject Type="Embed" ProgID="Excel.Sheet.8" ShapeID="_x0000_i1028" DrawAspect="Content" ObjectID="_1615021677" r:id="rId15"/>
        </w:object>
      </w:r>
    </w:p>
    <w:p w:rsidR="00BC74AB" w:rsidRDefault="00BC74AB" w:rsidP="00057500">
      <w:pPr>
        <w:pStyle w:val="Corpotesto"/>
        <w:spacing w:line="360" w:lineRule="auto"/>
        <w:jc w:val="center"/>
        <w:rPr>
          <w:bCs/>
        </w:rPr>
      </w:pPr>
    </w:p>
    <w:p w:rsidR="00DC3014" w:rsidRPr="00A4081D" w:rsidRDefault="00A4081D" w:rsidP="00057500">
      <w:pPr>
        <w:pStyle w:val="Corpotesto"/>
        <w:spacing w:line="360" w:lineRule="auto"/>
        <w:jc w:val="center"/>
        <w:rPr>
          <w:bCs/>
        </w:rPr>
      </w:pPr>
      <w:r w:rsidRPr="00A4081D">
        <w:rPr>
          <w:bCs/>
        </w:rPr>
        <w:t>TREND AUTOFINANZIAMENTO</w:t>
      </w:r>
    </w:p>
    <w:p w:rsidR="00DC3014" w:rsidRDefault="00FE440A" w:rsidP="00057500">
      <w:pPr>
        <w:pStyle w:val="Corpotesto"/>
        <w:spacing w:line="360" w:lineRule="auto"/>
        <w:jc w:val="center"/>
        <w:rPr>
          <w:b/>
          <w:bCs/>
          <w:u w:val="single"/>
        </w:rPr>
      </w:pPr>
      <w:r w:rsidRPr="00610B3C">
        <w:rPr>
          <w:b/>
          <w:bCs/>
          <w:noProof/>
        </w:rPr>
        <w:drawing>
          <wp:inline distT="0" distB="0" distL="0" distR="0">
            <wp:extent cx="4533900" cy="2219325"/>
            <wp:effectExtent l="0" t="0" r="0" b="0"/>
            <wp:docPr id="9" name="Oggett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C3014" w:rsidRDefault="00DC3014" w:rsidP="00057500">
      <w:pPr>
        <w:pStyle w:val="Corpotesto"/>
        <w:spacing w:line="360" w:lineRule="auto"/>
        <w:rPr>
          <w:b/>
          <w:bCs/>
          <w:u w:val="single"/>
        </w:rPr>
      </w:pPr>
    </w:p>
    <w:p w:rsidR="00D43DA7" w:rsidRDefault="00D43DA7" w:rsidP="00057500">
      <w:pPr>
        <w:pStyle w:val="Corpotesto"/>
        <w:spacing w:line="360" w:lineRule="auto"/>
        <w:rPr>
          <w:b/>
          <w:bCs/>
          <w:u w:val="single"/>
        </w:rPr>
      </w:pPr>
    </w:p>
    <w:p w:rsidR="000C3040" w:rsidRPr="00A42B2D" w:rsidRDefault="000C3040" w:rsidP="00057500">
      <w:pPr>
        <w:pStyle w:val="Titolo6"/>
        <w:spacing w:line="360" w:lineRule="auto"/>
        <w:rPr>
          <w:b/>
        </w:rPr>
      </w:pPr>
      <w:r w:rsidRPr="00A42B2D">
        <w:rPr>
          <w:b/>
        </w:rPr>
        <w:t>TRASFERIMENTI DI CAPITALE</w:t>
      </w:r>
      <w:r w:rsidR="00A42B2D" w:rsidRPr="00A42B2D">
        <w:rPr>
          <w:b/>
        </w:rPr>
        <w:t xml:space="preserve"> – TITOLO IV</w:t>
      </w:r>
    </w:p>
    <w:p w:rsidR="00850FF4" w:rsidRDefault="000C3040" w:rsidP="00057500">
      <w:pPr>
        <w:spacing w:line="360" w:lineRule="auto"/>
        <w:jc w:val="both"/>
        <w:rPr>
          <w:sz w:val="24"/>
        </w:rPr>
      </w:pPr>
      <w:r w:rsidRPr="00D61E05">
        <w:rPr>
          <w:sz w:val="24"/>
        </w:rPr>
        <w:t xml:space="preserve">In tale tipologia rientrano le entrate che finanziano gli investimenti dell’Ente Parco. </w:t>
      </w:r>
    </w:p>
    <w:p w:rsidR="005F5C93" w:rsidRDefault="005A7DC8" w:rsidP="00057500">
      <w:pPr>
        <w:spacing w:line="360" w:lineRule="auto"/>
        <w:jc w:val="both"/>
        <w:rPr>
          <w:sz w:val="24"/>
        </w:rPr>
      </w:pPr>
      <w:r>
        <w:rPr>
          <w:sz w:val="24"/>
        </w:rPr>
        <w:t>S</w:t>
      </w:r>
      <w:r w:rsidR="00591996">
        <w:rPr>
          <w:sz w:val="24"/>
        </w:rPr>
        <w:t>ono previste entrate in conto capitale,</w:t>
      </w:r>
      <w:r w:rsidR="005A3397">
        <w:rPr>
          <w:sz w:val="24"/>
        </w:rPr>
        <w:t xml:space="preserve"> nell’esercizio finanziario 2013</w:t>
      </w:r>
      <w:r w:rsidR="00591996">
        <w:rPr>
          <w:sz w:val="24"/>
        </w:rPr>
        <w:t xml:space="preserve">, per complessivi                  </w:t>
      </w:r>
      <w:r w:rsidR="00A06D0D">
        <w:rPr>
          <w:sz w:val="24"/>
        </w:rPr>
        <w:t xml:space="preserve">€ </w:t>
      </w:r>
      <w:r w:rsidR="00D9744E">
        <w:rPr>
          <w:sz w:val="24"/>
        </w:rPr>
        <w:t>300</w:t>
      </w:r>
      <w:r w:rsidR="00021185">
        <w:rPr>
          <w:sz w:val="24"/>
        </w:rPr>
        <w:t>.000</w:t>
      </w:r>
      <w:r w:rsidR="008F3EC7">
        <w:rPr>
          <w:sz w:val="24"/>
        </w:rPr>
        <w:t xml:space="preserve">,00. </w:t>
      </w:r>
    </w:p>
    <w:p w:rsidR="00494FA9" w:rsidRDefault="00494FA9" w:rsidP="00057500">
      <w:pPr>
        <w:spacing w:line="360" w:lineRule="auto"/>
        <w:jc w:val="both"/>
        <w:rPr>
          <w:sz w:val="24"/>
        </w:rPr>
      </w:pPr>
      <w:r>
        <w:rPr>
          <w:sz w:val="24"/>
        </w:rPr>
        <w:t xml:space="preserve">A tale importo va aggiunto il contributo </w:t>
      </w:r>
      <w:r w:rsidR="00591996">
        <w:rPr>
          <w:sz w:val="24"/>
        </w:rPr>
        <w:t xml:space="preserve">ordinario </w:t>
      </w:r>
      <w:r>
        <w:rPr>
          <w:sz w:val="24"/>
        </w:rPr>
        <w:t xml:space="preserve">della Provincia di Grosseto </w:t>
      </w:r>
      <w:r w:rsidR="00591996">
        <w:rPr>
          <w:sz w:val="24"/>
        </w:rPr>
        <w:t xml:space="preserve">di € 130.000,00 </w:t>
      </w:r>
      <w:r w:rsidR="0049573A">
        <w:rPr>
          <w:sz w:val="24"/>
        </w:rPr>
        <w:t>con il quale</w:t>
      </w:r>
      <w:r w:rsidR="00591996">
        <w:rPr>
          <w:sz w:val="24"/>
        </w:rPr>
        <w:t>,</w:t>
      </w:r>
      <w:r>
        <w:rPr>
          <w:sz w:val="24"/>
        </w:rPr>
        <w:t xml:space="preserve"> ai sensi dell’art.</w:t>
      </w:r>
      <w:r w:rsidR="00591996">
        <w:rPr>
          <w:sz w:val="24"/>
        </w:rPr>
        <w:t xml:space="preserve"> 199 comma 1) lettera b) del D.Lgs.n.267/2000, </w:t>
      </w:r>
      <w:r w:rsidR="0049573A">
        <w:rPr>
          <w:sz w:val="24"/>
        </w:rPr>
        <w:t>è intenzione di questa amministrazione f</w:t>
      </w:r>
      <w:r w:rsidR="00591996">
        <w:rPr>
          <w:sz w:val="24"/>
        </w:rPr>
        <w:t>inanzia</w:t>
      </w:r>
      <w:r w:rsidR="0049573A">
        <w:rPr>
          <w:sz w:val="24"/>
        </w:rPr>
        <w:t>re ulteriormante le</w:t>
      </w:r>
      <w:r w:rsidR="00591996">
        <w:rPr>
          <w:sz w:val="24"/>
        </w:rPr>
        <w:t xml:space="preserve"> spese in conto capitale. Complessivamente l’importo per spese di investimento ammonta, pertanto, ad € 430.000,00.</w:t>
      </w:r>
    </w:p>
    <w:p w:rsidR="009F0D1B" w:rsidRDefault="00494FA9" w:rsidP="00057500">
      <w:pPr>
        <w:spacing w:line="360" w:lineRule="auto"/>
        <w:jc w:val="both"/>
        <w:rPr>
          <w:sz w:val="24"/>
        </w:rPr>
      </w:pPr>
      <w:r>
        <w:rPr>
          <w:sz w:val="24"/>
        </w:rPr>
        <w:lastRenderedPageBreak/>
        <w:t>Tali previsioni</w:t>
      </w:r>
      <w:r w:rsidR="008F3EC7">
        <w:rPr>
          <w:sz w:val="24"/>
        </w:rPr>
        <w:t xml:space="preserve"> di</w:t>
      </w:r>
      <w:r w:rsidR="004F1747">
        <w:rPr>
          <w:sz w:val="24"/>
        </w:rPr>
        <w:t xml:space="preserve"> entrata, in analogia con la </w:t>
      </w:r>
      <w:r w:rsidR="008F3EC7">
        <w:rPr>
          <w:sz w:val="24"/>
        </w:rPr>
        <w:t xml:space="preserve">spesa </w:t>
      </w:r>
      <w:r w:rsidR="004F1747">
        <w:rPr>
          <w:sz w:val="24"/>
        </w:rPr>
        <w:t xml:space="preserve">prevista di pari importo nel Titolo II delle spese, </w:t>
      </w:r>
      <w:r w:rsidR="008F3EC7">
        <w:rPr>
          <w:sz w:val="24"/>
        </w:rPr>
        <w:t>si colloca nell’ottica di realizzare alcuni importanti interventi sul territorio dell’area protetta</w:t>
      </w:r>
      <w:r w:rsidR="00D9744E">
        <w:rPr>
          <w:sz w:val="24"/>
        </w:rPr>
        <w:t>,</w:t>
      </w:r>
      <w:r w:rsidR="008F3EC7">
        <w:rPr>
          <w:sz w:val="24"/>
        </w:rPr>
        <w:t xml:space="preserve"> </w:t>
      </w:r>
      <w:r w:rsidR="0066182D">
        <w:rPr>
          <w:sz w:val="24"/>
        </w:rPr>
        <w:t>per lo più all’interno</w:t>
      </w:r>
      <w:r w:rsidR="008F3EC7">
        <w:rPr>
          <w:sz w:val="24"/>
        </w:rPr>
        <w:t xml:space="preserve"> dell’Azienda Regionale Agricola di Alberese, una delle più importanti aziende nel cui territorio insiste il Parco, </w:t>
      </w:r>
      <w:r w:rsidR="009F0D1B">
        <w:rPr>
          <w:sz w:val="24"/>
        </w:rPr>
        <w:t xml:space="preserve">divenendo </w:t>
      </w:r>
      <w:r w:rsidR="00B60DB4">
        <w:rPr>
          <w:sz w:val="24"/>
        </w:rPr>
        <w:t>così</w:t>
      </w:r>
      <w:r w:rsidR="009F0D1B">
        <w:rPr>
          <w:sz w:val="24"/>
        </w:rPr>
        <w:t xml:space="preserve"> un importante strumento per la realizzazione di quella coesione territoriale da realizzare attraverso il mantenimento della qualità del territorio e del paesaggio indicato come obiettivo strategico dalla Regione Toscana medesima.</w:t>
      </w:r>
    </w:p>
    <w:p w:rsidR="008F3EC7" w:rsidRDefault="008F3EC7" w:rsidP="00057500">
      <w:pPr>
        <w:spacing w:line="360" w:lineRule="auto"/>
        <w:jc w:val="both"/>
        <w:rPr>
          <w:sz w:val="24"/>
        </w:rPr>
      </w:pPr>
      <w:r>
        <w:rPr>
          <w:sz w:val="24"/>
        </w:rPr>
        <w:t>Ad oggi devono essere trovati gli strumenti finanziari più opportuni per accedere ai finanziamenti</w:t>
      </w:r>
      <w:r w:rsidR="0049573A">
        <w:rPr>
          <w:sz w:val="24"/>
        </w:rPr>
        <w:t xml:space="preserve"> in conto capitale</w:t>
      </w:r>
      <w:r>
        <w:rPr>
          <w:sz w:val="24"/>
        </w:rPr>
        <w:t xml:space="preserve"> che sono stati quantificati sulla base di </w:t>
      </w:r>
      <w:r w:rsidR="008A4092">
        <w:rPr>
          <w:sz w:val="24"/>
        </w:rPr>
        <w:t xml:space="preserve">progettualità </w:t>
      </w:r>
      <w:r w:rsidR="00DD6029">
        <w:rPr>
          <w:sz w:val="24"/>
        </w:rPr>
        <w:t>stimate</w:t>
      </w:r>
      <w:r w:rsidR="008A4092">
        <w:rPr>
          <w:sz w:val="24"/>
        </w:rPr>
        <w:t xml:space="preserve"> dal Parco della M</w:t>
      </w:r>
      <w:r>
        <w:rPr>
          <w:sz w:val="24"/>
        </w:rPr>
        <w:t>aremma per interventi a sostegno sia della biodiversità che del patrimonio naturalistico, tra le priorità più importanti cui il parco regionale è chiamato a rispondere.</w:t>
      </w:r>
    </w:p>
    <w:p w:rsidR="00A06D0D" w:rsidRPr="00A06D0D" w:rsidRDefault="00A06D0D" w:rsidP="00057500">
      <w:pPr>
        <w:spacing w:line="360" w:lineRule="auto"/>
      </w:pPr>
    </w:p>
    <w:p w:rsidR="000C3040" w:rsidRPr="00A42B2D" w:rsidRDefault="000C3040" w:rsidP="00057500">
      <w:pPr>
        <w:pStyle w:val="Titolo6"/>
        <w:spacing w:line="360" w:lineRule="auto"/>
        <w:rPr>
          <w:b/>
        </w:rPr>
      </w:pPr>
      <w:r w:rsidRPr="00A42B2D">
        <w:rPr>
          <w:b/>
        </w:rPr>
        <w:t>ACCENSIONE DI PRESTITI</w:t>
      </w:r>
      <w:r w:rsidR="00A42B2D" w:rsidRPr="00A42B2D">
        <w:rPr>
          <w:b/>
        </w:rPr>
        <w:t xml:space="preserve"> – TITOLO V</w:t>
      </w:r>
    </w:p>
    <w:p w:rsidR="00880EBA" w:rsidRDefault="00880EBA" w:rsidP="00057500">
      <w:pPr>
        <w:pStyle w:val="Corpotesto"/>
        <w:spacing w:line="360" w:lineRule="auto"/>
        <w:rPr>
          <w:b/>
          <w:bCs/>
          <w:u w:val="single"/>
        </w:rPr>
      </w:pPr>
      <w:r w:rsidRPr="005412F7">
        <w:t>questo tipo</w:t>
      </w:r>
      <w:r>
        <w:t xml:space="preserve"> di introiti riguarda il titolo V delle entrate.</w:t>
      </w:r>
    </w:p>
    <w:p w:rsidR="00880EBA" w:rsidRDefault="00880EBA" w:rsidP="00057500">
      <w:pPr>
        <w:pStyle w:val="Corpotesto"/>
        <w:spacing w:line="360" w:lineRule="auto"/>
      </w:pPr>
      <w:r>
        <w:t xml:space="preserve">L’Ente Parco può nel corso d’esercizio, ai sensi dell’art. 222 del D.Lgs. n. 267/2000 e dell’art. 58 del proprio Regolamento di </w:t>
      </w:r>
      <w:r w:rsidR="008A4092">
        <w:t>629.126,78</w:t>
      </w:r>
      <w:r>
        <w:t xml:space="preserve"> (pari ai 3/12 dei primi tre titoli delle entrate accertate del </w:t>
      </w:r>
      <w:r w:rsidR="00440767">
        <w:t>consuntivo 2</w:t>
      </w:r>
      <w:r w:rsidR="008A4092">
        <w:t>011</w:t>
      </w:r>
      <w:r>
        <w:t xml:space="preserve">). Si è ritenuto opportuno mantenere attuabile tale prerogativa inserendo gli opportuni capitoli in bilancio : </w:t>
      </w:r>
    </w:p>
    <w:p w:rsidR="00880EBA" w:rsidRDefault="00880EBA" w:rsidP="00453948">
      <w:pPr>
        <w:pStyle w:val="Corpotesto"/>
        <w:numPr>
          <w:ilvl w:val="0"/>
          <w:numId w:val="5"/>
        </w:numPr>
        <w:spacing w:line="360" w:lineRule="auto"/>
      </w:pPr>
      <w:r>
        <w:t>cap. 66/E ( Titolo V – Categoria 1^ - Risorsa 5100)</w:t>
      </w:r>
    </w:p>
    <w:p w:rsidR="00880EBA" w:rsidRDefault="00880EBA" w:rsidP="00453948">
      <w:pPr>
        <w:pStyle w:val="Corpotesto"/>
        <w:numPr>
          <w:ilvl w:val="0"/>
          <w:numId w:val="5"/>
        </w:numPr>
        <w:spacing w:line="360" w:lineRule="auto"/>
      </w:pPr>
      <w:r>
        <w:t>cap.500/U ( Titolo III – Funzione 01- Servizio 03 – Intervento 1)</w:t>
      </w:r>
    </w:p>
    <w:p w:rsidR="00880EBA" w:rsidRDefault="00880EBA" w:rsidP="00453948">
      <w:pPr>
        <w:pStyle w:val="Corpotesto"/>
        <w:numPr>
          <w:ilvl w:val="0"/>
          <w:numId w:val="5"/>
        </w:numPr>
        <w:spacing w:line="360" w:lineRule="auto"/>
      </w:pPr>
      <w:r>
        <w:t>cap.97/U ( Titolo I – Funzione 01- Servizio 08 – Intervento 6) – Interessi passivi</w:t>
      </w:r>
    </w:p>
    <w:p w:rsidR="00880EBA" w:rsidRDefault="00880EBA" w:rsidP="00057500">
      <w:pPr>
        <w:pStyle w:val="Corpotesto"/>
        <w:spacing w:line="360" w:lineRule="auto"/>
      </w:pPr>
      <w:r>
        <w:t>Sono stati previsti gli interessi passivi sull’importo massimo ottenibile al tasso accordato dalla convenzione con il servizio di Tesoreria attualmente vigente.</w:t>
      </w:r>
    </w:p>
    <w:p w:rsidR="009F6059" w:rsidRDefault="009F6059" w:rsidP="00057500">
      <w:pPr>
        <w:pStyle w:val="Titolo6"/>
        <w:spacing w:line="360" w:lineRule="auto"/>
        <w:rPr>
          <w:b/>
        </w:rPr>
      </w:pPr>
    </w:p>
    <w:p w:rsidR="00A42B2D" w:rsidRPr="00A42B2D" w:rsidRDefault="00A42B2D" w:rsidP="00057500">
      <w:pPr>
        <w:pStyle w:val="Titolo6"/>
        <w:spacing w:line="360" w:lineRule="auto"/>
        <w:rPr>
          <w:b/>
        </w:rPr>
      </w:pPr>
      <w:r>
        <w:rPr>
          <w:b/>
        </w:rPr>
        <w:t>ENTRATE DA SERVIZI PER CONTO TERZI</w:t>
      </w:r>
      <w:r w:rsidRPr="00A42B2D">
        <w:rPr>
          <w:b/>
        </w:rPr>
        <w:t xml:space="preserve"> – TITOLO V</w:t>
      </w:r>
      <w:r>
        <w:rPr>
          <w:b/>
        </w:rPr>
        <w:t>I</w:t>
      </w:r>
    </w:p>
    <w:p w:rsidR="00880EBA" w:rsidRPr="00C3188F" w:rsidRDefault="00C3188F" w:rsidP="003C3316">
      <w:pPr>
        <w:spacing w:line="360" w:lineRule="auto"/>
        <w:jc w:val="both"/>
        <w:rPr>
          <w:sz w:val="24"/>
          <w:szCs w:val="24"/>
        </w:rPr>
      </w:pPr>
      <w:r w:rsidRPr="00C3188F">
        <w:rPr>
          <w:sz w:val="24"/>
          <w:szCs w:val="24"/>
        </w:rPr>
        <w:t xml:space="preserve">Sono le partite di giro </w:t>
      </w:r>
      <w:r w:rsidR="003C3316">
        <w:rPr>
          <w:sz w:val="24"/>
          <w:szCs w:val="24"/>
        </w:rPr>
        <w:t xml:space="preserve">relative al pagamento al versamento di imposte erariali e contributi </w:t>
      </w:r>
      <w:r w:rsidRPr="00C3188F">
        <w:rPr>
          <w:sz w:val="24"/>
          <w:szCs w:val="24"/>
        </w:rPr>
        <w:t xml:space="preserve">che ammontano ad € </w:t>
      </w:r>
      <w:r w:rsidR="00440767">
        <w:rPr>
          <w:sz w:val="24"/>
          <w:szCs w:val="24"/>
        </w:rPr>
        <w:t>320</w:t>
      </w:r>
      <w:r w:rsidRPr="00C3188F">
        <w:rPr>
          <w:sz w:val="24"/>
          <w:szCs w:val="24"/>
        </w:rPr>
        <w:t>.000,00</w:t>
      </w:r>
      <w:r w:rsidR="003C3316">
        <w:rPr>
          <w:sz w:val="24"/>
          <w:szCs w:val="24"/>
        </w:rPr>
        <w:t>.</w:t>
      </w:r>
    </w:p>
    <w:p w:rsidR="0064201A" w:rsidRDefault="0064201A" w:rsidP="00057500">
      <w:pPr>
        <w:pStyle w:val="Corpotesto"/>
        <w:spacing w:line="360" w:lineRule="auto"/>
        <w:jc w:val="center"/>
        <w:rPr>
          <w:b/>
          <w:szCs w:val="24"/>
        </w:rPr>
      </w:pPr>
    </w:p>
    <w:p w:rsidR="00C25914" w:rsidRDefault="00C25914" w:rsidP="00057500">
      <w:pPr>
        <w:pStyle w:val="Corpotesto"/>
        <w:spacing w:line="360" w:lineRule="auto"/>
        <w:jc w:val="center"/>
        <w:rPr>
          <w:b/>
          <w:szCs w:val="24"/>
        </w:rPr>
      </w:pPr>
    </w:p>
    <w:p w:rsidR="00C25914" w:rsidRDefault="00C25914" w:rsidP="00057500">
      <w:pPr>
        <w:pStyle w:val="Corpotesto"/>
        <w:spacing w:line="360" w:lineRule="auto"/>
        <w:jc w:val="center"/>
        <w:rPr>
          <w:b/>
          <w:szCs w:val="24"/>
        </w:rPr>
      </w:pPr>
    </w:p>
    <w:p w:rsidR="00C25914" w:rsidRDefault="00C25914" w:rsidP="00057500">
      <w:pPr>
        <w:pStyle w:val="Corpotesto"/>
        <w:spacing w:line="360" w:lineRule="auto"/>
        <w:jc w:val="center"/>
        <w:rPr>
          <w:b/>
          <w:szCs w:val="24"/>
        </w:rPr>
      </w:pPr>
    </w:p>
    <w:tbl>
      <w:tblPr>
        <w:tblW w:w="0" w:type="auto"/>
        <w:tblInd w:w="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3"/>
      </w:tblGrid>
      <w:tr w:rsidR="00F827F1">
        <w:trPr>
          <w:trHeight w:val="975"/>
        </w:trPr>
        <w:tc>
          <w:tcPr>
            <w:tcW w:w="2693" w:type="dxa"/>
          </w:tcPr>
          <w:p w:rsidR="00F827F1" w:rsidRDefault="00F827F1" w:rsidP="00057500">
            <w:pPr>
              <w:pStyle w:val="Corpotesto"/>
              <w:spacing w:line="360" w:lineRule="auto"/>
              <w:jc w:val="center"/>
              <w:rPr>
                <w:b/>
              </w:rPr>
            </w:pPr>
          </w:p>
          <w:p w:rsidR="00F827F1" w:rsidRDefault="00F827F1" w:rsidP="00057500">
            <w:pPr>
              <w:pStyle w:val="Corpotesto"/>
              <w:spacing w:line="360" w:lineRule="auto"/>
              <w:jc w:val="center"/>
              <w:rPr>
                <w:b/>
              </w:rPr>
            </w:pPr>
            <w:r w:rsidRPr="00350BC5">
              <w:rPr>
                <w:b/>
              </w:rPr>
              <w:t>SPESA</w:t>
            </w:r>
          </w:p>
        </w:tc>
      </w:tr>
    </w:tbl>
    <w:p w:rsidR="00623D18" w:rsidRDefault="00623D18" w:rsidP="00057500">
      <w:pPr>
        <w:pStyle w:val="Corpotesto"/>
        <w:spacing w:line="360" w:lineRule="auto"/>
        <w:jc w:val="left"/>
        <w:rPr>
          <w:b/>
          <w:u w:val="single"/>
        </w:rPr>
      </w:pPr>
    </w:p>
    <w:p w:rsidR="00402E16" w:rsidRPr="00C3188F" w:rsidRDefault="00402E16" w:rsidP="00057500">
      <w:pPr>
        <w:pStyle w:val="Corpotesto"/>
        <w:spacing w:line="360" w:lineRule="auto"/>
        <w:jc w:val="left"/>
        <w:rPr>
          <w:b/>
          <w:u w:val="single"/>
        </w:rPr>
      </w:pPr>
      <w:r w:rsidRPr="00C3188F">
        <w:rPr>
          <w:b/>
          <w:u w:val="single"/>
        </w:rPr>
        <w:t>SPESE CORRENTI</w:t>
      </w:r>
      <w:r w:rsidR="00C3188F" w:rsidRPr="00C3188F">
        <w:rPr>
          <w:b/>
          <w:u w:val="single"/>
        </w:rPr>
        <w:t>- TITOLO I</w:t>
      </w:r>
    </w:p>
    <w:p w:rsidR="00A10C54" w:rsidRDefault="00A10C54" w:rsidP="00057500">
      <w:pPr>
        <w:pStyle w:val="Rientrocorpodeltesto"/>
        <w:spacing w:line="360" w:lineRule="auto"/>
        <w:ind w:left="0"/>
        <w:rPr>
          <w:szCs w:val="24"/>
        </w:rPr>
      </w:pPr>
      <w:r>
        <w:rPr>
          <w:szCs w:val="24"/>
        </w:rPr>
        <w:t>La Regione Toscana con delibera di Giunta n. 522 del 5 aprile 2005 – Allegato A) ha individuato l’Ente Parco Regionale della Maremma tra gli enti dipendenti regionali.</w:t>
      </w:r>
    </w:p>
    <w:p w:rsidR="008A4092" w:rsidRDefault="00DD6029" w:rsidP="008A4092">
      <w:pPr>
        <w:pStyle w:val="Rientrocorpodeltesto"/>
        <w:spacing w:line="360" w:lineRule="auto"/>
        <w:ind w:left="0"/>
        <w:rPr>
          <w:szCs w:val="24"/>
        </w:rPr>
      </w:pPr>
      <w:r>
        <w:rPr>
          <w:szCs w:val="24"/>
        </w:rPr>
        <w:t>Nel</w:t>
      </w:r>
      <w:r w:rsidR="008A4092">
        <w:rPr>
          <w:szCs w:val="24"/>
        </w:rPr>
        <w:t xml:space="preserve"> redigere il Bilancio di Previsione 2013 </w:t>
      </w:r>
      <w:r>
        <w:rPr>
          <w:szCs w:val="24"/>
        </w:rPr>
        <w:t>sono state rispettate</w:t>
      </w:r>
      <w:r w:rsidR="008A4092">
        <w:rPr>
          <w:szCs w:val="24"/>
        </w:rPr>
        <w:t xml:space="preserve"> quelle che sono  le direttive impartite dalla Regione Toscana in materia di spesa per gli enti dipendenti regionali.</w:t>
      </w:r>
    </w:p>
    <w:p w:rsidR="00C6568C" w:rsidRDefault="00C6568C" w:rsidP="00057500">
      <w:pPr>
        <w:pStyle w:val="Corpotesto"/>
        <w:spacing w:line="360" w:lineRule="auto"/>
        <w:jc w:val="left"/>
        <w:rPr>
          <w:u w:val="single"/>
        </w:rPr>
      </w:pPr>
    </w:p>
    <w:p w:rsidR="001C26C7" w:rsidRDefault="001C26C7" w:rsidP="00057500">
      <w:pPr>
        <w:spacing w:line="360" w:lineRule="auto"/>
        <w:jc w:val="both"/>
        <w:rPr>
          <w:sz w:val="24"/>
        </w:rPr>
      </w:pPr>
      <w:r w:rsidRPr="00121CD1">
        <w:rPr>
          <w:b/>
          <w:sz w:val="24"/>
          <w:u w:val="single"/>
        </w:rPr>
        <w:t xml:space="preserve">Nella tavola n.1 è sintetizzato l’andamento delle spese correnti </w:t>
      </w:r>
      <w:r w:rsidR="00F67FB9" w:rsidRPr="00121CD1">
        <w:rPr>
          <w:b/>
          <w:sz w:val="24"/>
          <w:u w:val="single"/>
        </w:rPr>
        <w:t xml:space="preserve">di funzionamento </w:t>
      </w:r>
      <w:r w:rsidRPr="00121CD1">
        <w:rPr>
          <w:b/>
          <w:sz w:val="24"/>
          <w:u w:val="single"/>
        </w:rPr>
        <w:t xml:space="preserve">suddivise per intervento di spesa </w:t>
      </w:r>
      <w:r>
        <w:rPr>
          <w:sz w:val="24"/>
        </w:rPr>
        <w:t>per ognuna delle quali è evidenziato l’andamento storico per quanto riguarda gli ultimi tre esercizi e la possibile programmazion</w:t>
      </w:r>
      <w:r w:rsidR="00305A80">
        <w:rPr>
          <w:sz w:val="24"/>
        </w:rPr>
        <w:t>e triennale per l’esercizio 2013</w:t>
      </w:r>
      <w:r>
        <w:rPr>
          <w:sz w:val="24"/>
        </w:rPr>
        <w:t xml:space="preserve"> e per i due ulteriori esercizi futuri.</w:t>
      </w:r>
    </w:p>
    <w:p w:rsidR="00316760" w:rsidRDefault="00AE0473" w:rsidP="00057500">
      <w:pPr>
        <w:spacing w:line="360" w:lineRule="auto"/>
        <w:jc w:val="both"/>
        <w:rPr>
          <w:sz w:val="24"/>
        </w:rPr>
      </w:pPr>
      <w:r>
        <w:rPr>
          <w:sz w:val="24"/>
        </w:rPr>
        <w:t>Rispetto all</w:t>
      </w:r>
      <w:r w:rsidR="007402C8">
        <w:rPr>
          <w:sz w:val="24"/>
        </w:rPr>
        <w:t>a spesa impegnata nel</w:t>
      </w:r>
      <w:r>
        <w:rPr>
          <w:sz w:val="24"/>
        </w:rPr>
        <w:t xml:space="preserve"> 2010 aumenta la spesa di personale</w:t>
      </w:r>
      <w:r w:rsidR="00F67FB9">
        <w:rPr>
          <w:sz w:val="24"/>
        </w:rPr>
        <w:t xml:space="preserve"> </w:t>
      </w:r>
      <w:r w:rsidR="00316760">
        <w:rPr>
          <w:sz w:val="24"/>
        </w:rPr>
        <w:t>del 3,99%.</w:t>
      </w:r>
    </w:p>
    <w:p w:rsidR="00BB43DD" w:rsidRDefault="000221F0" w:rsidP="00057500">
      <w:pPr>
        <w:spacing w:line="360" w:lineRule="auto"/>
        <w:jc w:val="both"/>
        <w:rPr>
          <w:sz w:val="24"/>
        </w:rPr>
      </w:pPr>
      <w:r>
        <w:rPr>
          <w:sz w:val="24"/>
        </w:rPr>
        <w:t>D</w:t>
      </w:r>
      <w:r w:rsidR="00F67FB9">
        <w:rPr>
          <w:sz w:val="24"/>
        </w:rPr>
        <w:t xml:space="preserve">iminuiscono </w:t>
      </w:r>
      <w:r>
        <w:rPr>
          <w:sz w:val="24"/>
        </w:rPr>
        <w:t>quasi tutte</w:t>
      </w:r>
      <w:r w:rsidR="000A4485">
        <w:rPr>
          <w:sz w:val="24"/>
        </w:rPr>
        <w:t xml:space="preserve"> le altre spese generali</w:t>
      </w:r>
      <w:r w:rsidR="00B942EA">
        <w:rPr>
          <w:sz w:val="24"/>
        </w:rPr>
        <w:t xml:space="preserve"> </w:t>
      </w:r>
      <w:r>
        <w:rPr>
          <w:sz w:val="24"/>
        </w:rPr>
        <w:t>di oltre il 5% portando l</w:t>
      </w:r>
      <w:r w:rsidR="00B942EA">
        <w:rPr>
          <w:sz w:val="24"/>
        </w:rPr>
        <w:t xml:space="preserve">a spesa </w:t>
      </w:r>
      <w:r w:rsidR="00BB43DD">
        <w:rPr>
          <w:sz w:val="24"/>
        </w:rPr>
        <w:t>generale corrente, al netto della spesa di personale,</w:t>
      </w:r>
      <w:r w:rsidR="00B942EA">
        <w:rPr>
          <w:sz w:val="24"/>
        </w:rPr>
        <w:t xml:space="preserve"> </w:t>
      </w:r>
      <w:r>
        <w:rPr>
          <w:sz w:val="24"/>
        </w:rPr>
        <w:t xml:space="preserve">ad una diminuzione </w:t>
      </w:r>
      <w:r w:rsidR="00B942EA">
        <w:rPr>
          <w:sz w:val="24"/>
        </w:rPr>
        <w:t xml:space="preserve">del </w:t>
      </w:r>
      <w:r w:rsidR="0071270E">
        <w:rPr>
          <w:sz w:val="24"/>
        </w:rPr>
        <w:t>22,50</w:t>
      </w:r>
      <w:r>
        <w:rPr>
          <w:sz w:val="24"/>
        </w:rPr>
        <w:t xml:space="preserve">% rispetto al 2010 e del </w:t>
      </w:r>
      <w:r w:rsidR="0071270E">
        <w:rPr>
          <w:sz w:val="24"/>
        </w:rPr>
        <w:t>15,35</w:t>
      </w:r>
      <w:r w:rsidR="00316760">
        <w:rPr>
          <w:sz w:val="24"/>
        </w:rPr>
        <w:t>% rispetto al 2012 per effetto della contrazione dei trasferimenti pubblici</w:t>
      </w:r>
      <w:r>
        <w:rPr>
          <w:sz w:val="24"/>
        </w:rPr>
        <w:t>.</w:t>
      </w:r>
      <w:r w:rsidR="00BB43DD">
        <w:rPr>
          <w:sz w:val="24"/>
        </w:rPr>
        <w:t xml:space="preserve"> </w:t>
      </w:r>
    </w:p>
    <w:p w:rsidR="00AE0473" w:rsidRDefault="00BB43DD" w:rsidP="00057500">
      <w:pPr>
        <w:spacing w:line="360" w:lineRule="auto"/>
        <w:jc w:val="both"/>
        <w:rPr>
          <w:sz w:val="24"/>
        </w:rPr>
      </w:pPr>
      <w:r>
        <w:rPr>
          <w:sz w:val="24"/>
        </w:rPr>
        <w:t>Dim</w:t>
      </w:r>
      <w:r w:rsidR="00316760">
        <w:rPr>
          <w:sz w:val="24"/>
        </w:rPr>
        <w:t>inu</w:t>
      </w:r>
      <w:r>
        <w:rPr>
          <w:sz w:val="24"/>
        </w:rPr>
        <w:t xml:space="preserve">isce </w:t>
      </w:r>
      <w:r w:rsidR="00316760">
        <w:rPr>
          <w:sz w:val="24"/>
        </w:rPr>
        <w:t>l</w:t>
      </w:r>
      <w:r>
        <w:rPr>
          <w:sz w:val="24"/>
        </w:rPr>
        <w:t xml:space="preserve">a spesa corrente totale di </w:t>
      </w:r>
      <w:r w:rsidR="008131C0">
        <w:rPr>
          <w:sz w:val="24"/>
        </w:rPr>
        <w:t>circa il 1</w:t>
      </w:r>
      <w:r w:rsidR="00725CB9">
        <w:rPr>
          <w:sz w:val="24"/>
        </w:rPr>
        <w:t>4</w:t>
      </w:r>
      <w:r>
        <w:rPr>
          <w:sz w:val="24"/>
        </w:rPr>
        <w:t xml:space="preserve">% rispetto al 2010 e di </w:t>
      </w:r>
      <w:r w:rsidR="00725CB9">
        <w:rPr>
          <w:sz w:val="24"/>
        </w:rPr>
        <w:t xml:space="preserve">circa il </w:t>
      </w:r>
      <w:r w:rsidR="0071270E">
        <w:rPr>
          <w:sz w:val="24"/>
        </w:rPr>
        <w:t>9</w:t>
      </w:r>
      <w:r w:rsidR="008131C0">
        <w:rPr>
          <w:sz w:val="24"/>
        </w:rPr>
        <w:t xml:space="preserve">% </w:t>
      </w:r>
      <w:r w:rsidR="00316760">
        <w:rPr>
          <w:sz w:val="24"/>
        </w:rPr>
        <w:t xml:space="preserve"> rispetto il 2012</w:t>
      </w:r>
      <w:r>
        <w:rPr>
          <w:sz w:val="24"/>
        </w:rPr>
        <w:t>.</w:t>
      </w:r>
    </w:p>
    <w:bookmarkStart w:id="107" w:name="_MON_1389435181"/>
    <w:bookmarkStart w:id="108" w:name="_MON_1389435699"/>
    <w:bookmarkStart w:id="109" w:name="_MON_1389436428"/>
    <w:bookmarkStart w:id="110" w:name="_MON_1389436771"/>
    <w:bookmarkStart w:id="111" w:name="_MON_1389436982"/>
    <w:bookmarkStart w:id="112" w:name="_MON_1389437003"/>
    <w:bookmarkStart w:id="113" w:name="_MON_1389437020"/>
    <w:bookmarkStart w:id="114" w:name="_MON_1389437050"/>
    <w:bookmarkStart w:id="115" w:name="_MON_1389437148"/>
    <w:bookmarkStart w:id="116" w:name="_MON_1389437301"/>
    <w:bookmarkStart w:id="117" w:name="_MON_1391185835"/>
    <w:bookmarkStart w:id="118" w:name="_MON_1391185993"/>
    <w:bookmarkStart w:id="119" w:name="_MON_1391186318"/>
    <w:bookmarkStart w:id="120" w:name="_MON_1391252448"/>
    <w:bookmarkStart w:id="121" w:name="_MON_1391687407"/>
    <w:bookmarkStart w:id="122" w:name="_MON_1392194605"/>
    <w:bookmarkStart w:id="123" w:name="_MON_1392201335"/>
    <w:bookmarkStart w:id="124" w:name="_MON_1415789821"/>
    <w:bookmarkStart w:id="125" w:name="_GoBack"/>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Start w:id="126" w:name="_MON_1389435171"/>
    <w:bookmarkEnd w:id="126"/>
    <w:p w:rsidR="001150E0" w:rsidRDefault="005046CF" w:rsidP="00057500">
      <w:pPr>
        <w:spacing w:line="360" w:lineRule="auto"/>
        <w:jc w:val="both"/>
        <w:rPr>
          <w:b/>
          <w:bCs/>
          <w:u w:val="single"/>
        </w:rPr>
      </w:pPr>
      <w:r w:rsidRPr="00FE2291">
        <w:rPr>
          <w:b/>
          <w:bCs/>
          <w:u w:val="single"/>
        </w:rPr>
        <w:object w:dxaOrig="10110" w:dyaOrig="5865">
          <v:shape id="_x0000_i1029" type="#_x0000_t75" style="width:480pt;height:278.25pt" o:ole="">
            <v:imagedata r:id="rId17" o:title=""/>
          </v:shape>
          <o:OLEObject Type="Embed" ProgID="Excel.Sheet.8" ShapeID="_x0000_i1029" DrawAspect="Content" ObjectID="_1615021678" r:id="rId18"/>
        </w:object>
      </w:r>
    </w:p>
    <w:p w:rsidR="005D799F" w:rsidRDefault="005D799F" w:rsidP="00057500">
      <w:pPr>
        <w:spacing w:line="360" w:lineRule="auto"/>
        <w:jc w:val="both"/>
        <w:rPr>
          <w:sz w:val="24"/>
        </w:rPr>
      </w:pPr>
    </w:p>
    <w:p w:rsidR="00402E16" w:rsidRPr="00ED1948" w:rsidRDefault="00402E16" w:rsidP="00057500">
      <w:pPr>
        <w:pStyle w:val="Corpotesto"/>
        <w:spacing w:line="360" w:lineRule="auto"/>
        <w:jc w:val="left"/>
        <w:rPr>
          <w:b/>
          <w:u w:val="single"/>
        </w:rPr>
      </w:pPr>
      <w:r w:rsidRPr="00ED1948">
        <w:rPr>
          <w:b/>
          <w:u w:val="single"/>
        </w:rPr>
        <w:t>SPESE IN CONTO CAPITALE</w:t>
      </w:r>
      <w:r w:rsidR="00ED1948">
        <w:rPr>
          <w:b/>
          <w:u w:val="single"/>
        </w:rPr>
        <w:t xml:space="preserve"> – TITOLO II</w:t>
      </w:r>
    </w:p>
    <w:p w:rsidR="00BB4130" w:rsidRDefault="002438CD" w:rsidP="00057500">
      <w:pPr>
        <w:pStyle w:val="Corpotesto"/>
        <w:spacing w:line="360" w:lineRule="auto"/>
        <w:jc w:val="left"/>
      </w:pPr>
      <w:r w:rsidRPr="002438CD">
        <w:t xml:space="preserve">Valgono le stesse osservazioni </w:t>
      </w:r>
      <w:r w:rsidR="00BB4130">
        <w:t>fatte in merito ai</w:t>
      </w:r>
      <w:r w:rsidRPr="002438CD">
        <w:t xml:space="preserve"> trasferimenti in conto capitale</w:t>
      </w:r>
      <w:r w:rsidR="004F1747">
        <w:t xml:space="preserve"> del Titolo IV delle entrate</w:t>
      </w:r>
      <w:r w:rsidR="00BB4130">
        <w:t>.</w:t>
      </w:r>
    </w:p>
    <w:p w:rsidR="002640E9" w:rsidRDefault="002640E9" w:rsidP="00057500">
      <w:pPr>
        <w:spacing w:line="360" w:lineRule="auto"/>
        <w:jc w:val="both"/>
        <w:rPr>
          <w:sz w:val="24"/>
        </w:rPr>
      </w:pPr>
      <w:r>
        <w:rPr>
          <w:sz w:val="24"/>
        </w:rPr>
        <w:t>Sono previste,</w:t>
      </w:r>
      <w:r w:rsidR="007F24BD">
        <w:rPr>
          <w:sz w:val="24"/>
        </w:rPr>
        <w:t xml:space="preserve"> nell’esercizio finanziario 2013</w:t>
      </w:r>
      <w:r>
        <w:rPr>
          <w:sz w:val="24"/>
        </w:rPr>
        <w:t xml:space="preserve">, spese complessive </w:t>
      </w:r>
      <w:r w:rsidR="00A06D0D">
        <w:rPr>
          <w:sz w:val="24"/>
        </w:rPr>
        <w:t xml:space="preserve">per investimenti </w:t>
      </w:r>
      <w:r>
        <w:rPr>
          <w:sz w:val="24"/>
        </w:rPr>
        <w:t xml:space="preserve">di € </w:t>
      </w:r>
      <w:r w:rsidR="0000534F">
        <w:rPr>
          <w:sz w:val="24"/>
        </w:rPr>
        <w:t>430</w:t>
      </w:r>
      <w:r w:rsidR="00F57D9C">
        <w:rPr>
          <w:sz w:val="24"/>
        </w:rPr>
        <w:t>.000,00</w:t>
      </w:r>
      <w:r w:rsidR="003B5D6F">
        <w:rPr>
          <w:sz w:val="24"/>
        </w:rPr>
        <w:t xml:space="preserve"> dei quali € 30</w:t>
      </w:r>
      <w:r w:rsidR="007C277B">
        <w:rPr>
          <w:sz w:val="24"/>
        </w:rPr>
        <w:t>0.000,00 finanziati con trasferimenti in conto capitale da parte della Regione Toscana ed € 130.000,00 utilizzando il contributo 2013 della Provincia di Grosseto.</w:t>
      </w:r>
    </w:p>
    <w:p w:rsidR="004F1747" w:rsidRPr="00CC5FEF" w:rsidRDefault="004F1747" w:rsidP="004F1747">
      <w:pPr>
        <w:pStyle w:val="Titolo1"/>
        <w:spacing w:line="360" w:lineRule="auto"/>
        <w:rPr>
          <w:b/>
          <w:szCs w:val="24"/>
          <w:u w:val="single"/>
        </w:rPr>
      </w:pPr>
      <w:bookmarkStart w:id="127" w:name="_Toc315032614"/>
      <w:r>
        <w:rPr>
          <w:b/>
          <w:szCs w:val="24"/>
          <w:u w:val="single"/>
        </w:rPr>
        <w:t>Accordi specifici: il caso dell’</w:t>
      </w:r>
      <w:r w:rsidRPr="00CC5FEF">
        <w:rPr>
          <w:b/>
          <w:szCs w:val="24"/>
          <w:u w:val="single"/>
        </w:rPr>
        <w:t xml:space="preserve"> Azienda Regionale Agricola di Alberese</w:t>
      </w:r>
      <w:bookmarkEnd w:id="127"/>
    </w:p>
    <w:p w:rsidR="009A513A" w:rsidRDefault="004F1747" w:rsidP="004F1747">
      <w:pPr>
        <w:spacing w:line="360" w:lineRule="auto"/>
        <w:jc w:val="both"/>
        <w:rPr>
          <w:sz w:val="24"/>
          <w:szCs w:val="24"/>
        </w:rPr>
      </w:pPr>
      <w:r w:rsidRPr="00CC5FEF">
        <w:rPr>
          <w:sz w:val="24"/>
          <w:szCs w:val="24"/>
        </w:rPr>
        <w:t>Il processo di dialogo con l’Azienda Agricola Regionale di Alberese finalizzato all’adozione di una strategia congiunta per la limitazione dei danni alle colture agricole, il recupero dei pascoli e la messa in atto di miglioramenti ambientali (per una gestione più organica delle operazioni di controllo della fauna selvatica</w:t>
      </w:r>
      <w:r>
        <w:rPr>
          <w:sz w:val="24"/>
          <w:szCs w:val="24"/>
        </w:rPr>
        <w:t xml:space="preserve"> e non solo) è </w:t>
      </w:r>
      <w:r w:rsidRPr="00CC5FEF">
        <w:rPr>
          <w:sz w:val="24"/>
          <w:szCs w:val="24"/>
        </w:rPr>
        <w:t xml:space="preserve">un fatto di grande rilievo, che </w:t>
      </w:r>
      <w:r>
        <w:rPr>
          <w:sz w:val="24"/>
          <w:szCs w:val="24"/>
        </w:rPr>
        <w:t>dovrà trovare nel corso del 2013</w:t>
      </w:r>
      <w:r w:rsidRPr="00CC5FEF">
        <w:rPr>
          <w:sz w:val="24"/>
          <w:szCs w:val="24"/>
        </w:rPr>
        <w:t xml:space="preserve"> forme di collaborazione fattive. </w:t>
      </w:r>
    </w:p>
    <w:p w:rsidR="009A513A" w:rsidRDefault="009A513A" w:rsidP="004F1747">
      <w:pPr>
        <w:spacing w:line="360" w:lineRule="auto"/>
        <w:jc w:val="both"/>
        <w:rPr>
          <w:sz w:val="24"/>
          <w:szCs w:val="24"/>
        </w:rPr>
      </w:pPr>
      <w:r>
        <w:rPr>
          <w:sz w:val="24"/>
          <w:szCs w:val="24"/>
        </w:rPr>
        <w:t>Elemento di grande rilievo deve essere rappresentato dalla possibilità di eseguire interventi di gestione ter</w:t>
      </w:r>
      <w:r w:rsidR="0000534F">
        <w:rPr>
          <w:sz w:val="24"/>
          <w:szCs w:val="24"/>
        </w:rPr>
        <w:t>ritoriale all’interno della pro</w:t>
      </w:r>
      <w:r>
        <w:rPr>
          <w:sz w:val="24"/>
          <w:szCs w:val="24"/>
        </w:rPr>
        <w:t>p</w:t>
      </w:r>
      <w:r w:rsidR="0000534F">
        <w:rPr>
          <w:sz w:val="24"/>
          <w:szCs w:val="24"/>
        </w:rPr>
        <w:t>r</w:t>
      </w:r>
      <w:r>
        <w:rPr>
          <w:sz w:val="24"/>
          <w:szCs w:val="24"/>
        </w:rPr>
        <w:t>ietà dell’Azienda Regionale Agricola di Alberese tali da avere una positiva ricaduta sull’intero territorio dell’area protetta (ad es. manutenzione e migliore organizzazione del sistema di regimazione idraulica per la raccolta ed il deflusso delle acque piovane)</w:t>
      </w:r>
    </w:p>
    <w:p w:rsidR="004F1747" w:rsidRPr="00CC5FEF" w:rsidRDefault="004F1747" w:rsidP="004F1747">
      <w:pPr>
        <w:spacing w:line="360" w:lineRule="auto"/>
        <w:jc w:val="both"/>
        <w:rPr>
          <w:sz w:val="24"/>
          <w:szCs w:val="24"/>
        </w:rPr>
      </w:pPr>
      <w:r w:rsidRPr="00CC5FEF">
        <w:rPr>
          <w:sz w:val="24"/>
          <w:szCs w:val="24"/>
        </w:rPr>
        <w:t>Gli obiettivi da perseguire dovranno essere raggiunti mediante una strategia condivisa e compartecipata. Tra questi, le azioni principali possono essere riassunte come di seguito:</w:t>
      </w:r>
    </w:p>
    <w:p w:rsidR="004F1747" w:rsidRPr="00287E47" w:rsidRDefault="004F1747" w:rsidP="004F1747">
      <w:pPr>
        <w:numPr>
          <w:ilvl w:val="0"/>
          <w:numId w:val="45"/>
        </w:numPr>
        <w:spacing w:line="360" w:lineRule="auto"/>
        <w:jc w:val="both"/>
        <w:rPr>
          <w:sz w:val="24"/>
          <w:szCs w:val="24"/>
        </w:rPr>
      </w:pPr>
      <w:r w:rsidRPr="00287E47">
        <w:rPr>
          <w:sz w:val="24"/>
          <w:szCs w:val="24"/>
        </w:rPr>
        <w:t>manutenzione straordinaria delle recinzioni esistenti (ad es. area Lasco)</w:t>
      </w:r>
      <w:r>
        <w:rPr>
          <w:sz w:val="24"/>
          <w:szCs w:val="24"/>
        </w:rPr>
        <w:t>;</w:t>
      </w:r>
    </w:p>
    <w:p w:rsidR="004F1747" w:rsidRDefault="004F1747" w:rsidP="004F1747">
      <w:pPr>
        <w:numPr>
          <w:ilvl w:val="0"/>
          <w:numId w:val="45"/>
        </w:numPr>
        <w:spacing w:line="360" w:lineRule="auto"/>
        <w:jc w:val="both"/>
        <w:rPr>
          <w:sz w:val="24"/>
          <w:szCs w:val="24"/>
        </w:rPr>
      </w:pPr>
      <w:r w:rsidRPr="00287E47">
        <w:rPr>
          <w:sz w:val="24"/>
          <w:szCs w:val="24"/>
        </w:rPr>
        <w:t>nuove recinzioni da concordare in aree ad alta concentrazione di fauna protetta</w:t>
      </w:r>
      <w:r>
        <w:rPr>
          <w:sz w:val="24"/>
          <w:szCs w:val="24"/>
        </w:rPr>
        <w:t>;</w:t>
      </w:r>
    </w:p>
    <w:p w:rsidR="004F1747" w:rsidRDefault="004F1747" w:rsidP="004F1747">
      <w:pPr>
        <w:numPr>
          <w:ilvl w:val="0"/>
          <w:numId w:val="45"/>
        </w:numPr>
        <w:spacing w:line="360" w:lineRule="auto"/>
        <w:jc w:val="both"/>
        <w:rPr>
          <w:sz w:val="24"/>
          <w:szCs w:val="24"/>
        </w:rPr>
      </w:pPr>
      <w:r>
        <w:rPr>
          <w:sz w:val="24"/>
          <w:szCs w:val="24"/>
        </w:rPr>
        <w:t>recupero di aree a pascolo con trinciatura di rovi e piante erbacee perenni in periodo autunnale;</w:t>
      </w:r>
    </w:p>
    <w:p w:rsidR="004F1747" w:rsidRDefault="004F1747" w:rsidP="004F1747">
      <w:pPr>
        <w:numPr>
          <w:ilvl w:val="0"/>
          <w:numId w:val="45"/>
        </w:numPr>
        <w:spacing w:line="360" w:lineRule="auto"/>
        <w:jc w:val="both"/>
        <w:rPr>
          <w:sz w:val="24"/>
          <w:szCs w:val="24"/>
        </w:rPr>
      </w:pPr>
      <w:r>
        <w:rPr>
          <w:sz w:val="24"/>
          <w:szCs w:val="24"/>
        </w:rPr>
        <w:t>ripristino di alcune aree aperte e successiva realizzazione di colture a perdere nelle zone lontane dalle aree di abbattimento;</w:t>
      </w:r>
    </w:p>
    <w:p w:rsidR="004F1747" w:rsidRDefault="004F1747" w:rsidP="004F1747">
      <w:pPr>
        <w:numPr>
          <w:ilvl w:val="0"/>
          <w:numId w:val="45"/>
        </w:numPr>
        <w:spacing w:line="360" w:lineRule="auto"/>
        <w:jc w:val="both"/>
        <w:rPr>
          <w:sz w:val="24"/>
          <w:szCs w:val="24"/>
        </w:rPr>
      </w:pPr>
      <w:r>
        <w:rPr>
          <w:sz w:val="24"/>
          <w:szCs w:val="24"/>
        </w:rPr>
        <w:t xml:space="preserve">manutenzioni ordinarie e straordinarie alle strutture ed agli itinerari del parco che insistono nella proprietà </w:t>
      </w:r>
      <w:r w:rsidR="009A513A">
        <w:rPr>
          <w:sz w:val="24"/>
          <w:szCs w:val="24"/>
        </w:rPr>
        <w:t>dell’Azienda Agricola Regionale;</w:t>
      </w:r>
    </w:p>
    <w:p w:rsidR="009A513A" w:rsidRDefault="009A513A" w:rsidP="004F1747">
      <w:pPr>
        <w:numPr>
          <w:ilvl w:val="0"/>
          <w:numId w:val="45"/>
        </w:numPr>
        <w:spacing w:line="360" w:lineRule="auto"/>
        <w:jc w:val="both"/>
        <w:rPr>
          <w:sz w:val="24"/>
          <w:szCs w:val="24"/>
        </w:rPr>
      </w:pPr>
      <w:r>
        <w:rPr>
          <w:sz w:val="24"/>
          <w:szCs w:val="24"/>
        </w:rPr>
        <w:t>interventi di manutenzione e gestione del territorio anche alla luce dei gravi problemi occorsi a seguito dei recenti eventi alluvionali dello scorso mese di novembre 2012.</w:t>
      </w:r>
    </w:p>
    <w:p w:rsidR="004F1747" w:rsidRPr="005D799F" w:rsidRDefault="004F1747" w:rsidP="004F1747">
      <w:pPr>
        <w:spacing w:line="360" w:lineRule="auto"/>
        <w:jc w:val="both"/>
        <w:rPr>
          <w:sz w:val="24"/>
          <w:szCs w:val="24"/>
          <w:u w:val="single"/>
        </w:rPr>
      </w:pPr>
      <w:r w:rsidRPr="005D799F">
        <w:rPr>
          <w:sz w:val="24"/>
          <w:szCs w:val="24"/>
          <w:u w:val="single"/>
        </w:rPr>
        <w:lastRenderedPageBreak/>
        <w:t>Dovrà essere predisposto uno strumento operativo, in accordo con la Regione Toscana, che possa permettere ai due enti dipendenti della regione medesima di lavorare in sinergia nel rispetto della normativa vigente.</w:t>
      </w:r>
    </w:p>
    <w:p w:rsidR="003F62DD" w:rsidRDefault="003F62DD" w:rsidP="00057500">
      <w:pPr>
        <w:pStyle w:val="Corpotesto"/>
        <w:spacing w:line="360" w:lineRule="auto"/>
        <w:rPr>
          <w:b/>
          <w:u w:val="single"/>
        </w:rPr>
      </w:pPr>
    </w:p>
    <w:p w:rsidR="00C3188F" w:rsidRPr="00ED1948" w:rsidRDefault="00C3188F" w:rsidP="00057500">
      <w:pPr>
        <w:pStyle w:val="Corpotesto"/>
        <w:spacing w:line="360" w:lineRule="auto"/>
        <w:rPr>
          <w:b/>
          <w:u w:val="single"/>
        </w:rPr>
      </w:pPr>
      <w:r w:rsidRPr="00ED1948">
        <w:rPr>
          <w:b/>
          <w:u w:val="single"/>
        </w:rPr>
        <w:t>SPESE RIMBORSO PRESTITI</w:t>
      </w:r>
      <w:r w:rsidR="00ED1948">
        <w:rPr>
          <w:b/>
          <w:u w:val="single"/>
        </w:rPr>
        <w:t xml:space="preserve"> – TITOLO III</w:t>
      </w:r>
    </w:p>
    <w:p w:rsidR="00C3188F" w:rsidRDefault="00C3188F" w:rsidP="00057500">
      <w:pPr>
        <w:pStyle w:val="Corpotesto"/>
        <w:spacing w:line="360" w:lineRule="auto"/>
      </w:pPr>
      <w:r w:rsidRPr="002438CD">
        <w:rPr>
          <w:szCs w:val="24"/>
        </w:rPr>
        <w:t>Le Spese del Titolo III per rimborso prestiti</w:t>
      </w:r>
      <w:r w:rsidRPr="002438CD">
        <w:t>,</w:t>
      </w:r>
      <w:r>
        <w:t xml:space="preserve"> iscritte in bilancio, ammontano ad € </w:t>
      </w:r>
      <w:r w:rsidR="00CE67C0">
        <w:t>646.192,80</w:t>
      </w:r>
      <w:r>
        <w:t xml:space="preserve"> e sono relative:</w:t>
      </w:r>
    </w:p>
    <w:p w:rsidR="00C3188F" w:rsidRDefault="00D205E4" w:rsidP="00453948">
      <w:pPr>
        <w:pStyle w:val="Corpotesto"/>
        <w:numPr>
          <w:ilvl w:val="0"/>
          <w:numId w:val="8"/>
        </w:numPr>
        <w:spacing w:line="360" w:lineRule="auto"/>
      </w:pPr>
      <w:r>
        <w:t>all’annualità 2013</w:t>
      </w:r>
      <w:r w:rsidR="00C3188F">
        <w:t xml:space="preserve"> del rimborso della quota capitale per € </w:t>
      </w:r>
      <w:r w:rsidR="00CE67C0">
        <w:t>17.066,01</w:t>
      </w:r>
      <w:r w:rsidR="00C3188F">
        <w:t xml:space="preserve"> del mutuo richiesto alla cassa Depositi e Prestiti di € 150.000,00 per la realizzazione in parte del progetto “ Tutela e valorizzazione delle zone umide del Parco – Implementazione sistema di telecontrollo”. Il piano di ammortamento del mutuo (quota capitale e quota interessi) ammonta all’importo annuo di € 18.258,61;</w:t>
      </w:r>
    </w:p>
    <w:p w:rsidR="00C3188F" w:rsidRDefault="00D205E4" w:rsidP="00453948">
      <w:pPr>
        <w:pStyle w:val="Corpotesto"/>
        <w:numPr>
          <w:ilvl w:val="0"/>
          <w:numId w:val="8"/>
        </w:numPr>
        <w:spacing w:line="360" w:lineRule="auto"/>
      </w:pPr>
      <w:r>
        <w:t>all’annualità 2013</w:t>
      </w:r>
      <w:r w:rsidR="00C3188F">
        <w:t xml:space="preserve"> del rimborso dell’eventuale anticipazione di cassa nell’importo massimo concedibile pari ad € </w:t>
      </w:r>
      <w:r>
        <w:t>629.126,79</w:t>
      </w:r>
      <w:r w:rsidR="00C3188F">
        <w:t xml:space="preserve">.  </w:t>
      </w:r>
    </w:p>
    <w:p w:rsidR="002438CD" w:rsidRDefault="002438CD" w:rsidP="00057500">
      <w:pPr>
        <w:pStyle w:val="Corpotesto"/>
        <w:spacing w:line="360" w:lineRule="auto"/>
      </w:pPr>
    </w:p>
    <w:p w:rsidR="00ED1948" w:rsidRDefault="00ED1948" w:rsidP="00057500">
      <w:pPr>
        <w:pStyle w:val="Corpotesto"/>
        <w:spacing w:line="360" w:lineRule="auto"/>
        <w:rPr>
          <w:b/>
          <w:u w:val="single"/>
        </w:rPr>
      </w:pPr>
      <w:r>
        <w:rPr>
          <w:b/>
          <w:u w:val="single"/>
        </w:rPr>
        <w:t>SPESE PER SERVIZI PER CONTO TERZI – TI</w:t>
      </w:r>
      <w:r w:rsidR="00C87DC4">
        <w:rPr>
          <w:b/>
          <w:u w:val="single"/>
        </w:rPr>
        <w:t>T</w:t>
      </w:r>
      <w:r>
        <w:rPr>
          <w:b/>
          <w:u w:val="single"/>
        </w:rPr>
        <w:t>OLO IV</w:t>
      </w:r>
    </w:p>
    <w:p w:rsidR="00ED1948" w:rsidRPr="00C3188F" w:rsidRDefault="00ED1948" w:rsidP="00057500">
      <w:pPr>
        <w:spacing w:line="360" w:lineRule="auto"/>
        <w:rPr>
          <w:sz w:val="24"/>
          <w:szCs w:val="24"/>
        </w:rPr>
      </w:pPr>
      <w:r w:rsidRPr="00C3188F">
        <w:rPr>
          <w:sz w:val="24"/>
          <w:szCs w:val="24"/>
        </w:rPr>
        <w:t>Sono le partite di giro</w:t>
      </w:r>
      <w:r w:rsidR="003C3316">
        <w:rPr>
          <w:sz w:val="24"/>
          <w:szCs w:val="24"/>
        </w:rPr>
        <w:t>, di pari importo alle entrate,</w:t>
      </w:r>
      <w:r w:rsidRPr="00C3188F">
        <w:rPr>
          <w:sz w:val="24"/>
          <w:szCs w:val="24"/>
        </w:rPr>
        <w:t xml:space="preserve"> che ammontano ad € </w:t>
      </w:r>
      <w:r w:rsidR="00435F54">
        <w:rPr>
          <w:sz w:val="24"/>
          <w:szCs w:val="24"/>
        </w:rPr>
        <w:t>320.000</w:t>
      </w:r>
      <w:r w:rsidRPr="00C3188F">
        <w:rPr>
          <w:sz w:val="24"/>
          <w:szCs w:val="24"/>
        </w:rPr>
        <w:t>,00</w:t>
      </w:r>
    </w:p>
    <w:p w:rsidR="009979D4" w:rsidRDefault="009979D4" w:rsidP="009979D4">
      <w:pPr>
        <w:rPr>
          <w:highlight w:val="yellow"/>
        </w:rPr>
      </w:pPr>
    </w:p>
    <w:p w:rsidR="009979D4" w:rsidRPr="009979D4" w:rsidRDefault="009979D4" w:rsidP="009979D4">
      <w:pPr>
        <w:rPr>
          <w:highlight w:val="yellow"/>
        </w:rPr>
      </w:pPr>
    </w:p>
    <w:sectPr w:rsidR="009979D4" w:rsidRPr="009979D4" w:rsidSect="00BF4ADF">
      <w:headerReference w:type="default" r:id="rId19"/>
      <w:footerReference w:type="even" r:id="rId20"/>
      <w:footerReference w:type="default" r:id="rId21"/>
      <w:pgSz w:w="11907" w:h="16840" w:code="9"/>
      <w:pgMar w:top="2381" w:right="1276" w:bottom="1134" w:left="1134" w:header="56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062" w:rsidRDefault="00484062">
      <w:r>
        <w:separator/>
      </w:r>
    </w:p>
  </w:endnote>
  <w:endnote w:type="continuationSeparator" w:id="0">
    <w:p w:rsidR="00484062" w:rsidRDefault="0048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549" w:rsidRDefault="009A354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24</w:t>
    </w:r>
    <w:r>
      <w:rPr>
        <w:rStyle w:val="Numeropagina"/>
      </w:rPr>
      <w:fldChar w:fldCharType="end"/>
    </w:r>
  </w:p>
  <w:p w:rsidR="009A3549" w:rsidRDefault="009A35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549" w:rsidRDefault="009A354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0AC2">
      <w:rPr>
        <w:rStyle w:val="Numeropagina"/>
        <w:noProof/>
      </w:rPr>
      <w:t>36</w:t>
    </w:r>
    <w:r>
      <w:rPr>
        <w:rStyle w:val="Numeropagina"/>
      </w:rPr>
      <w:fldChar w:fldCharType="end"/>
    </w:r>
  </w:p>
  <w:p w:rsidR="009A3549" w:rsidRDefault="009A35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062" w:rsidRDefault="00484062">
      <w:r>
        <w:separator/>
      </w:r>
    </w:p>
  </w:footnote>
  <w:footnote w:type="continuationSeparator" w:id="0">
    <w:p w:rsidR="00484062" w:rsidRDefault="0048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549" w:rsidRDefault="009A3549">
    <w:pPr>
      <w:pStyle w:val="Intestazione"/>
    </w:pPr>
    <w:r>
      <w:object w:dxaOrig="7034"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7.75pt;height:78.75pt" o:ole="">
          <v:imagedata r:id="rId1" o:title=""/>
        </v:shape>
        <o:OLEObject Type="Embed" ProgID="MSPhotoEd.3" ShapeID="_x0000_i1030" DrawAspect="Content" ObjectID="_161502167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0C3"/>
    <w:multiLevelType w:val="hybridMultilevel"/>
    <w:tmpl w:val="2CFC23A2"/>
    <w:lvl w:ilvl="0" w:tplc="53F06DB8">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16B43"/>
    <w:multiLevelType w:val="hybridMultilevel"/>
    <w:tmpl w:val="889C4A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B818DA"/>
    <w:multiLevelType w:val="hybridMultilevel"/>
    <w:tmpl w:val="1A62A4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D52CDE"/>
    <w:multiLevelType w:val="hybridMultilevel"/>
    <w:tmpl w:val="FFF64394"/>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092D3B8A"/>
    <w:multiLevelType w:val="hybridMultilevel"/>
    <w:tmpl w:val="ECC27AB6"/>
    <w:lvl w:ilvl="0" w:tplc="0410000F">
      <w:start w:val="1"/>
      <w:numFmt w:val="decimal"/>
      <w:lvlText w:val="%1."/>
      <w:lvlJc w:val="left"/>
      <w:pPr>
        <w:tabs>
          <w:tab w:val="num" w:pos="786"/>
        </w:tabs>
        <w:ind w:left="786" w:hanging="360"/>
      </w:p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5" w15:restartNumberingAfterBreak="0">
    <w:nsid w:val="0CA37277"/>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994576"/>
    <w:multiLevelType w:val="hybridMultilevel"/>
    <w:tmpl w:val="6CD81944"/>
    <w:lvl w:ilvl="0" w:tplc="53F06DB8">
      <w:start w:val="3"/>
      <w:numFmt w:val="bullet"/>
      <w:lvlText w:val="-"/>
      <w:lvlJc w:val="left"/>
      <w:pPr>
        <w:tabs>
          <w:tab w:val="num" w:pos="360"/>
        </w:tabs>
        <w:ind w:left="360" w:hanging="360"/>
      </w:pPr>
      <w:rPr>
        <w:rFonts w:ascii="Times New Roman" w:eastAsia="Times New Roman" w:hAnsi="Times New Roman" w:cs="Times New Roman" w:hint="default"/>
      </w:rPr>
    </w:lvl>
    <w:lvl w:ilvl="1" w:tplc="53F06DB8">
      <w:start w:val="3"/>
      <w:numFmt w:val="bullet"/>
      <w:lvlText w:val="-"/>
      <w:lvlJc w:val="left"/>
      <w:pPr>
        <w:tabs>
          <w:tab w:val="num" w:pos="360"/>
        </w:tabs>
        <w:ind w:left="360" w:hanging="360"/>
      </w:pPr>
      <w:rPr>
        <w:rFonts w:ascii="Times New Roman" w:eastAsia="Times New Roman" w:hAnsi="Times New Roman"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653B5E"/>
    <w:multiLevelType w:val="hybridMultilevel"/>
    <w:tmpl w:val="F16C7BE2"/>
    <w:lvl w:ilvl="0" w:tplc="1F30EC7A">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410CC8"/>
    <w:multiLevelType w:val="hybridMultilevel"/>
    <w:tmpl w:val="8A0085A0"/>
    <w:lvl w:ilvl="0" w:tplc="53F06DB8">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B2607"/>
    <w:multiLevelType w:val="hybridMultilevel"/>
    <w:tmpl w:val="3DDEB8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74715D"/>
    <w:multiLevelType w:val="hybridMultilevel"/>
    <w:tmpl w:val="A7B425C8"/>
    <w:lvl w:ilvl="0" w:tplc="5680D038">
      <w:start w:val="12"/>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353623"/>
    <w:multiLevelType w:val="hybridMultilevel"/>
    <w:tmpl w:val="C816A118"/>
    <w:lvl w:ilvl="0" w:tplc="8D22F4E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AD5581"/>
    <w:multiLevelType w:val="hybridMultilevel"/>
    <w:tmpl w:val="F1F02280"/>
    <w:lvl w:ilvl="0" w:tplc="1F30EC7A">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0B4E76"/>
    <w:multiLevelType w:val="hybridMultilevel"/>
    <w:tmpl w:val="F83CD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B166CA"/>
    <w:multiLevelType w:val="hybridMultilevel"/>
    <w:tmpl w:val="2F52B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2F5492"/>
    <w:multiLevelType w:val="hybridMultilevel"/>
    <w:tmpl w:val="7CC619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C13EE2"/>
    <w:multiLevelType w:val="hybridMultilevel"/>
    <w:tmpl w:val="63F08078"/>
    <w:lvl w:ilvl="0" w:tplc="0410000F">
      <w:start w:val="1"/>
      <w:numFmt w:val="decimal"/>
      <w:lvlText w:val="%1."/>
      <w:lvlJc w:val="left"/>
      <w:pPr>
        <w:tabs>
          <w:tab w:val="num" w:pos="720"/>
        </w:tabs>
        <w:ind w:left="720" w:hanging="360"/>
      </w:pPr>
    </w:lvl>
    <w:lvl w:ilvl="1" w:tplc="53F06DB8">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F3D7EEA"/>
    <w:multiLevelType w:val="hybridMultilevel"/>
    <w:tmpl w:val="8C7AC354"/>
    <w:lvl w:ilvl="0" w:tplc="B906BD08">
      <w:start w:val="1"/>
      <w:numFmt w:val="decimal"/>
      <w:lvlText w:val="%1."/>
      <w:lvlJc w:val="left"/>
      <w:pPr>
        <w:tabs>
          <w:tab w:val="num" w:pos="360"/>
        </w:tabs>
        <w:ind w:left="360" w:hanging="360"/>
      </w:pPr>
      <w:rPr>
        <w:b w:val="0"/>
      </w:rPr>
    </w:lvl>
    <w:lvl w:ilvl="1" w:tplc="53F06DB8">
      <w:start w:val="3"/>
      <w:numFmt w:val="bullet"/>
      <w:lvlText w:val="-"/>
      <w:lvlJc w:val="left"/>
      <w:pPr>
        <w:tabs>
          <w:tab w:val="num" w:pos="-1080"/>
        </w:tabs>
        <w:ind w:left="-1080" w:hanging="360"/>
      </w:pPr>
      <w:rPr>
        <w:rFonts w:ascii="Times New Roman" w:eastAsia="Times New Roman" w:hAnsi="Times New Roman" w:cs="Times New Roman" w:hint="default"/>
        <w:b w:val="0"/>
      </w:rPr>
    </w:lvl>
    <w:lvl w:ilvl="2" w:tplc="0410000F">
      <w:start w:val="1"/>
      <w:numFmt w:val="decimal"/>
      <w:lvlText w:val="%3."/>
      <w:lvlJc w:val="left"/>
      <w:pPr>
        <w:tabs>
          <w:tab w:val="num" w:pos="360"/>
        </w:tabs>
        <w:ind w:left="360" w:hanging="360"/>
      </w:pPr>
      <w:rPr>
        <w:b w:val="0"/>
      </w:rPr>
    </w:lvl>
    <w:lvl w:ilvl="3" w:tplc="0410000F">
      <w:start w:val="1"/>
      <w:numFmt w:val="decimal"/>
      <w:lvlText w:val="%4."/>
      <w:lvlJc w:val="left"/>
      <w:pPr>
        <w:tabs>
          <w:tab w:val="num" w:pos="360"/>
        </w:tabs>
        <w:ind w:left="360" w:hanging="360"/>
      </w:pPr>
    </w:lvl>
    <w:lvl w:ilvl="4" w:tplc="04100019" w:tentative="1">
      <w:start w:val="1"/>
      <w:numFmt w:val="lowerLetter"/>
      <w:lvlText w:val="%5."/>
      <w:lvlJc w:val="left"/>
      <w:pPr>
        <w:tabs>
          <w:tab w:val="num" w:pos="1080"/>
        </w:tabs>
        <w:ind w:left="1080" w:hanging="360"/>
      </w:pPr>
    </w:lvl>
    <w:lvl w:ilvl="5" w:tplc="0410001B" w:tentative="1">
      <w:start w:val="1"/>
      <w:numFmt w:val="lowerRoman"/>
      <w:lvlText w:val="%6."/>
      <w:lvlJc w:val="right"/>
      <w:pPr>
        <w:tabs>
          <w:tab w:val="num" w:pos="1800"/>
        </w:tabs>
        <w:ind w:left="1800" w:hanging="180"/>
      </w:pPr>
    </w:lvl>
    <w:lvl w:ilvl="6" w:tplc="0410000F" w:tentative="1">
      <w:start w:val="1"/>
      <w:numFmt w:val="decimal"/>
      <w:lvlText w:val="%7."/>
      <w:lvlJc w:val="left"/>
      <w:pPr>
        <w:tabs>
          <w:tab w:val="num" w:pos="2520"/>
        </w:tabs>
        <w:ind w:left="2520" w:hanging="360"/>
      </w:pPr>
    </w:lvl>
    <w:lvl w:ilvl="7" w:tplc="04100019" w:tentative="1">
      <w:start w:val="1"/>
      <w:numFmt w:val="lowerLetter"/>
      <w:lvlText w:val="%8."/>
      <w:lvlJc w:val="left"/>
      <w:pPr>
        <w:tabs>
          <w:tab w:val="num" w:pos="3240"/>
        </w:tabs>
        <w:ind w:left="3240" w:hanging="360"/>
      </w:pPr>
    </w:lvl>
    <w:lvl w:ilvl="8" w:tplc="0410001B" w:tentative="1">
      <w:start w:val="1"/>
      <w:numFmt w:val="lowerRoman"/>
      <w:lvlText w:val="%9."/>
      <w:lvlJc w:val="right"/>
      <w:pPr>
        <w:tabs>
          <w:tab w:val="num" w:pos="3960"/>
        </w:tabs>
        <w:ind w:left="3960" w:hanging="180"/>
      </w:pPr>
    </w:lvl>
  </w:abstractNum>
  <w:abstractNum w:abstractNumId="18" w15:restartNumberingAfterBreak="0">
    <w:nsid w:val="30E03B88"/>
    <w:multiLevelType w:val="hybridMultilevel"/>
    <w:tmpl w:val="831439DA"/>
    <w:lvl w:ilvl="0" w:tplc="53F06DB8">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1049C2"/>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2615D72"/>
    <w:multiLevelType w:val="hybridMultilevel"/>
    <w:tmpl w:val="1FF0A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7457ED"/>
    <w:multiLevelType w:val="hybridMultilevel"/>
    <w:tmpl w:val="C66819A2"/>
    <w:lvl w:ilvl="0" w:tplc="53F06DB8">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29110F3"/>
    <w:multiLevelType w:val="hybridMultilevel"/>
    <w:tmpl w:val="C06C9552"/>
    <w:lvl w:ilvl="0" w:tplc="9836B414">
      <w:numFmt w:val="bullet"/>
      <w:lvlText w:val="-"/>
      <w:lvlJc w:val="left"/>
      <w:pPr>
        <w:tabs>
          <w:tab w:val="num" w:pos="1440"/>
        </w:tabs>
        <w:ind w:left="1440" w:hanging="360"/>
      </w:pPr>
      <w:rPr>
        <w:rFonts w:ascii="Times New Roman" w:eastAsia="Times New Roman" w:hAnsi="Times New Roman" w:cs="Times New Roman" w:hint="default"/>
        <w:b w:val="0"/>
        <w:i w:val="0"/>
        <w:color w:val="auto"/>
      </w:rPr>
    </w:lvl>
    <w:lvl w:ilvl="1" w:tplc="0410000F">
      <w:start w:val="1"/>
      <w:numFmt w:val="decimal"/>
      <w:lvlText w:val="%2."/>
      <w:lvlJc w:val="left"/>
      <w:pPr>
        <w:tabs>
          <w:tab w:val="num" w:pos="1800"/>
        </w:tabs>
        <w:ind w:left="1800" w:hanging="360"/>
      </w:pPr>
      <w:rPr>
        <w:rFonts w:hint="default"/>
        <w:b w:val="0"/>
        <w:i w:val="0"/>
        <w:color w:val="auto"/>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3C07AFC"/>
    <w:multiLevelType w:val="hybridMultilevel"/>
    <w:tmpl w:val="8BF0F042"/>
    <w:lvl w:ilvl="0" w:tplc="4D1EDE62">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DD970CB"/>
    <w:multiLevelType w:val="hybridMultilevel"/>
    <w:tmpl w:val="D4D6D7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C51162"/>
    <w:multiLevelType w:val="hybridMultilevel"/>
    <w:tmpl w:val="4022C69A"/>
    <w:lvl w:ilvl="0" w:tplc="4D1EDE62">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3972FB9"/>
    <w:multiLevelType w:val="hybridMultilevel"/>
    <w:tmpl w:val="F662C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D32F46"/>
    <w:multiLevelType w:val="hybridMultilevel"/>
    <w:tmpl w:val="2110DC8A"/>
    <w:lvl w:ilvl="0" w:tplc="4FE0B602">
      <w:start w:val="1"/>
      <w:numFmt w:val="decimal"/>
      <w:lvlText w:val="%1."/>
      <w:lvlJc w:val="left"/>
      <w:pPr>
        <w:ind w:left="644"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AC2F76"/>
    <w:multiLevelType w:val="hybridMultilevel"/>
    <w:tmpl w:val="77F8DA46"/>
    <w:lvl w:ilvl="0" w:tplc="0410000F">
      <w:start w:val="1"/>
      <w:numFmt w:val="decimal"/>
      <w:lvlText w:val="%1."/>
      <w:lvlJc w:val="left"/>
      <w:pPr>
        <w:tabs>
          <w:tab w:val="num" w:pos="720"/>
        </w:tabs>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1A7C26"/>
    <w:multiLevelType w:val="hybridMultilevel"/>
    <w:tmpl w:val="54FEF4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075EAA"/>
    <w:multiLevelType w:val="hybridMultilevel"/>
    <w:tmpl w:val="B400E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E44C08"/>
    <w:multiLevelType w:val="hybridMultilevel"/>
    <w:tmpl w:val="D1EAB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6C45A3"/>
    <w:multiLevelType w:val="hybridMultilevel"/>
    <w:tmpl w:val="75E4146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3" w15:restartNumberingAfterBreak="0">
    <w:nsid w:val="57117BD4"/>
    <w:multiLevelType w:val="hybridMultilevel"/>
    <w:tmpl w:val="97B472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7260EB4"/>
    <w:multiLevelType w:val="hybridMultilevel"/>
    <w:tmpl w:val="92AEA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D87B41"/>
    <w:multiLevelType w:val="hybridMultilevel"/>
    <w:tmpl w:val="FAFC5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A49638E"/>
    <w:multiLevelType w:val="hybridMultilevel"/>
    <w:tmpl w:val="01A45846"/>
    <w:lvl w:ilvl="0" w:tplc="53F06DB8">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4F4AFC"/>
    <w:multiLevelType w:val="hybridMultilevel"/>
    <w:tmpl w:val="BDAAC6D8"/>
    <w:lvl w:ilvl="0" w:tplc="04100019">
      <w:start w:val="1"/>
      <w:numFmt w:val="lowerLetter"/>
      <w:lvlText w:val="%1."/>
      <w:lvlJc w:val="left"/>
      <w:pPr>
        <w:ind w:left="1440" w:hanging="360"/>
      </w:pPr>
    </w:lvl>
    <w:lvl w:ilvl="1" w:tplc="BFE41DCA">
      <w:start w:val="1"/>
      <w:numFmt w:val="decimal"/>
      <w:lvlText w:val="%2"/>
      <w:lvlJc w:val="left"/>
      <w:pPr>
        <w:ind w:left="2160" w:hanging="360"/>
      </w:pPr>
      <w:rPr>
        <w:rFonts w:hint="default"/>
        <w:u w:val="single"/>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9876820C">
      <w:start w:val="1"/>
      <w:numFmt w:val="lowerLetter"/>
      <w:lvlText w:val="%5."/>
      <w:lvlJc w:val="left"/>
      <w:pPr>
        <w:ind w:left="4320" w:hanging="360"/>
      </w:pPr>
      <w:rPr>
        <w:b w:val="0"/>
      </w:r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5C2953F3"/>
    <w:multiLevelType w:val="hybridMultilevel"/>
    <w:tmpl w:val="B68A785A"/>
    <w:lvl w:ilvl="0" w:tplc="04100001">
      <w:start w:val="1"/>
      <w:numFmt w:val="bullet"/>
      <w:lvlText w:val=""/>
      <w:lvlJc w:val="left"/>
      <w:pPr>
        <w:ind w:left="921" w:hanging="360"/>
      </w:pPr>
      <w:rPr>
        <w:rFonts w:ascii="Symbol" w:hAnsi="Symbol" w:hint="default"/>
      </w:rPr>
    </w:lvl>
    <w:lvl w:ilvl="1" w:tplc="04100003" w:tentative="1">
      <w:start w:val="1"/>
      <w:numFmt w:val="bullet"/>
      <w:lvlText w:val="o"/>
      <w:lvlJc w:val="left"/>
      <w:pPr>
        <w:ind w:left="1641" w:hanging="360"/>
      </w:pPr>
      <w:rPr>
        <w:rFonts w:ascii="Courier New" w:hAnsi="Courier New" w:cs="Courier New" w:hint="default"/>
      </w:rPr>
    </w:lvl>
    <w:lvl w:ilvl="2" w:tplc="04100005" w:tentative="1">
      <w:start w:val="1"/>
      <w:numFmt w:val="bullet"/>
      <w:lvlText w:val=""/>
      <w:lvlJc w:val="left"/>
      <w:pPr>
        <w:ind w:left="2361" w:hanging="360"/>
      </w:pPr>
      <w:rPr>
        <w:rFonts w:ascii="Wingdings" w:hAnsi="Wingdings" w:hint="default"/>
      </w:rPr>
    </w:lvl>
    <w:lvl w:ilvl="3" w:tplc="04100001" w:tentative="1">
      <w:start w:val="1"/>
      <w:numFmt w:val="bullet"/>
      <w:lvlText w:val=""/>
      <w:lvlJc w:val="left"/>
      <w:pPr>
        <w:ind w:left="3081" w:hanging="360"/>
      </w:pPr>
      <w:rPr>
        <w:rFonts w:ascii="Symbol" w:hAnsi="Symbol" w:hint="default"/>
      </w:rPr>
    </w:lvl>
    <w:lvl w:ilvl="4" w:tplc="04100003" w:tentative="1">
      <w:start w:val="1"/>
      <w:numFmt w:val="bullet"/>
      <w:lvlText w:val="o"/>
      <w:lvlJc w:val="left"/>
      <w:pPr>
        <w:ind w:left="3801" w:hanging="360"/>
      </w:pPr>
      <w:rPr>
        <w:rFonts w:ascii="Courier New" w:hAnsi="Courier New" w:cs="Courier New" w:hint="default"/>
      </w:rPr>
    </w:lvl>
    <w:lvl w:ilvl="5" w:tplc="04100005" w:tentative="1">
      <w:start w:val="1"/>
      <w:numFmt w:val="bullet"/>
      <w:lvlText w:val=""/>
      <w:lvlJc w:val="left"/>
      <w:pPr>
        <w:ind w:left="4521" w:hanging="360"/>
      </w:pPr>
      <w:rPr>
        <w:rFonts w:ascii="Wingdings" w:hAnsi="Wingdings" w:hint="default"/>
      </w:rPr>
    </w:lvl>
    <w:lvl w:ilvl="6" w:tplc="04100001" w:tentative="1">
      <w:start w:val="1"/>
      <w:numFmt w:val="bullet"/>
      <w:lvlText w:val=""/>
      <w:lvlJc w:val="left"/>
      <w:pPr>
        <w:ind w:left="5241" w:hanging="360"/>
      </w:pPr>
      <w:rPr>
        <w:rFonts w:ascii="Symbol" w:hAnsi="Symbol" w:hint="default"/>
      </w:rPr>
    </w:lvl>
    <w:lvl w:ilvl="7" w:tplc="04100003" w:tentative="1">
      <w:start w:val="1"/>
      <w:numFmt w:val="bullet"/>
      <w:lvlText w:val="o"/>
      <w:lvlJc w:val="left"/>
      <w:pPr>
        <w:ind w:left="5961" w:hanging="360"/>
      </w:pPr>
      <w:rPr>
        <w:rFonts w:ascii="Courier New" w:hAnsi="Courier New" w:cs="Courier New" w:hint="default"/>
      </w:rPr>
    </w:lvl>
    <w:lvl w:ilvl="8" w:tplc="04100005" w:tentative="1">
      <w:start w:val="1"/>
      <w:numFmt w:val="bullet"/>
      <w:lvlText w:val=""/>
      <w:lvlJc w:val="left"/>
      <w:pPr>
        <w:ind w:left="6681" w:hanging="360"/>
      </w:pPr>
      <w:rPr>
        <w:rFonts w:ascii="Wingdings" w:hAnsi="Wingdings" w:hint="default"/>
      </w:rPr>
    </w:lvl>
  </w:abstractNum>
  <w:abstractNum w:abstractNumId="39" w15:restartNumberingAfterBreak="0">
    <w:nsid w:val="6B3F1423"/>
    <w:multiLevelType w:val="hybridMultilevel"/>
    <w:tmpl w:val="711CA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6D6991"/>
    <w:multiLevelType w:val="hybridMultilevel"/>
    <w:tmpl w:val="8E501100"/>
    <w:lvl w:ilvl="0" w:tplc="327E6144">
      <w:start w:val="1"/>
      <w:numFmt w:val="lowerLetter"/>
      <w:lvlText w:val="%1)"/>
      <w:lvlJc w:val="left"/>
      <w:pPr>
        <w:tabs>
          <w:tab w:val="num" w:pos="1068"/>
        </w:tabs>
        <w:ind w:left="1068" w:hanging="360"/>
      </w:pPr>
      <w:rPr>
        <w:rFonts w:hint="default"/>
      </w:rPr>
    </w:lvl>
    <w:lvl w:ilvl="1" w:tplc="53F06DB8">
      <w:start w:val="3"/>
      <w:numFmt w:val="bullet"/>
      <w:lvlText w:val="-"/>
      <w:lvlJc w:val="left"/>
      <w:pPr>
        <w:tabs>
          <w:tab w:val="num" w:pos="1788"/>
        </w:tabs>
        <w:ind w:left="1788" w:hanging="360"/>
      </w:pPr>
      <w:rPr>
        <w:rFonts w:ascii="Times New Roman" w:eastAsia="Times New Roman" w:hAnsi="Times New Roman" w:cs="Times New Roman" w:hint="default"/>
      </w:rPr>
    </w:lvl>
    <w:lvl w:ilvl="2" w:tplc="0410001B">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1" w15:restartNumberingAfterBreak="0">
    <w:nsid w:val="7098380F"/>
    <w:multiLevelType w:val="hybridMultilevel"/>
    <w:tmpl w:val="99EC6D6A"/>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70A53141"/>
    <w:multiLevelType w:val="hybridMultilevel"/>
    <w:tmpl w:val="99FA7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64B7883"/>
    <w:multiLevelType w:val="hybridMultilevel"/>
    <w:tmpl w:val="36B66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DF600E"/>
    <w:multiLevelType w:val="hybridMultilevel"/>
    <w:tmpl w:val="236A207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5"/>
  </w:num>
  <w:num w:numId="2">
    <w:abstractNumId w:val="19"/>
  </w:num>
  <w:num w:numId="3">
    <w:abstractNumId w:val="25"/>
  </w:num>
  <w:num w:numId="4">
    <w:abstractNumId w:val="23"/>
  </w:num>
  <w:num w:numId="5">
    <w:abstractNumId w:val="8"/>
  </w:num>
  <w:num w:numId="6">
    <w:abstractNumId w:val="37"/>
  </w:num>
  <w:num w:numId="7">
    <w:abstractNumId w:val="20"/>
  </w:num>
  <w:num w:numId="8">
    <w:abstractNumId w:val="44"/>
  </w:num>
  <w:num w:numId="9">
    <w:abstractNumId w:val="0"/>
  </w:num>
  <w:num w:numId="10">
    <w:abstractNumId w:val="2"/>
  </w:num>
  <w:num w:numId="11">
    <w:abstractNumId w:val="15"/>
  </w:num>
  <w:num w:numId="12">
    <w:abstractNumId w:val="33"/>
  </w:num>
  <w:num w:numId="13">
    <w:abstractNumId w:val="28"/>
  </w:num>
  <w:num w:numId="14">
    <w:abstractNumId w:val="4"/>
  </w:num>
  <w:num w:numId="15">
    <w:abstractNumId w:val="6"/>
  </w:num>
  <w:num w:numId="16">
    <w:abstractNumId w:val="36"/>
  </w:num>
  <w:num w:numId="17">
    <w:abstractNumId w:val="16"/>
  </w:num>
  <w:num w:numId="18">
    <w:abstractNumId w:val="40"/>
  </w:num>
  <w:num w:numId="19">
    <w:abstractNumId w:val="43"/>
  </w:num>
  <w:num w:numId="20">
    <w:abstractNumId w:val="31"/>
  </w:num>
  <w:num w:numId="21">
    <w:abstractNumId w:val="39"/>
  </w:num>
  <w:num w:numId="22">
    <w:abstractNumId w:val="13"/>
  </w:num>
  <w:num w:numId="23">
    <w:abstractNumId w:val="34"/>
  </w:num>
  <w:num w:numId="24">
    <w:abstractNumId w:val="26"/>
  </w:num>
  <w:num w:numId="25">
    <w:abstractNumId w:val="10"/>
  </w:num>
  <w:num w:numId="26">
    <w:abstractNumId w:val="18"/>
  </w:num>
  <w:num w:numId="27">
    <w:abstractNumId w:val="21"/>
  </w:num>
  <w:num w:numId="28">
    <w:abstractNumId w:val="11"/>
  </w:num>
  <w:num w:numId="29">
    <w:abstractNumId w:val="3"/>
  </w:num>
  <w:num w:numId="30">
    <w:abstractNumId w:val="1"/>
  </w:num>
  <w:num w:numId="31">
    <w:abstractNumId w:val="7"/>
  </w:num>
  <w:num w:numId="32">
    <w:abstractNumId w:val="29"/>
  </w:num>
  <w:num w:numId="33">
    <w:abstractNumId w:val="41"/>
  </w:num>
  <w:num w:numId="34">
    <w:abstractNumId w:val="17"/>
  </w:num>
  <w:num w:numId="35">
    <w:abstractNumId w:val="22"/>
  </w:num>
  <w:num w:numId="36">
    <w:abstractNumId w:val="12"/>
  </w:num>
  <w:num w:numId="37">
    <w:abstractNumId w:val="32"/>
  </w:num>
  <w:num w:numId="38">
    <w:abstractNumId w:val="38"/>
  </w:num>
  <w:num w:numId="39">
    <w:abstractNumId w:val="9"/>
  </w:num>
  <w:num w:numId="40">
    <w:abstractNumId w:val="14"/>
  </w:num>
  <w:num w:numId="41">
    <w:abstractNumId w:val="42"/>
  </w:num>
  <w:num w:numId="42">
    <w:abstractNumId w:val="35"/>
  </w:num>
  <w:num w:numId="43">
    <w:abstractNumId w:val="24"/>
  </w:num>
  <w:num w:numId="44">
    <w:abstractNumId w:val="3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A4"/>
    <w:rsid w:val="0000130E"/>
    <w:rsid w:val="00002133"/>
    <w:rsid w:val="00003A48"/>
    <w:rsid w:val="00003BAA"/>
    <w:rsid w:val="00003DBB"/>
    <w:rsid w:val="000052D1"/>
    <w:rsid w:val="0000534F"/>
    <w:rsid w:val="0000576E"/>
    <w:rsid w:val="00006377"/>
    <w:rsid w:val="000073D6"/>
    <w:rsid w:val="00010831"/>
    <w:rsid w:val="00010ED5"/>
    <w:rsid w:val="00010F8F"/>
    <w:rsid w:val="0001253F"/>
    <w:rsid w:val="00012AD8"/>
    <w:rsid w:val="00013D89"/>
    <w:rsid w:val="000148A5"/>
    <w:rsid w:val="00017A40"/>
    <w:rsid w:val="00020A0A"/>
    <w:rsid w:val="00020D58"/>
    <w:rsid w:val="00021185"/>
    <w:rsid w:val="0002192B"/>
    <w:rsid w:val="000221F0"/>
    <w:rsid w:val="000224C3"/>
    <w:rsid w:val="00025353"/>
    <w:rsid w:val="000275A3"/>
    <w:rsid w:val="000303C8"/>
    <w:rsid w:val="000308F0"/>
    <w:rsid w:val="00033422"/>
    <w:rsid w:val="000375F6"/>
    <w:rsid w:val="00040A67"/>
    <w:rsid w:val="000412F0"/>
    <w:rsid w:val="00041846"/>
    <w:rsid w:val="00042267"/>
    <w:rsid w:val="0004469A"/>
    <w:rsid w:val="00044A11"/>
    <w:rsid w:val="00044B75"/>
    <w:rsid w:val="00044C9E"/>
    <w:rsid w:val="00045933"/>
    <w:rsid w:val="00045EE3"/>
    <w:rsid w:val="00046E38"/>
    <w:rsid w:val="000473E3"/>
    <w:rsid w:val="00047EDA"/>
    <w:rsid w:val="00050F59"/>
    <w:rsid w:val="00051569"/>
    <w:rsid w:val="00051740"/>
    <w:rsid w:val="00051AA3"/>
    <w:rsid w:val="00054336"/>
    <w:rsid w:val="00054AA0"/>
    <w:rsid w:val="00054E19"/>
    <w:rsid w:val="000553E6"/>
    <w:rsid w:val="00055C88"/>
    <w:rsid w:val="0005665E"/>
    <w:rsid w:val="00057500"/>
    <w:rsid w:val="00057D91"/>
    <w:rsid w:val="00060C6E"/>
    <w:rsid w:val="0006273C"/>
    <w:rsid w:val="000638A6"/>
    <w:rsid w:val="000659C9"/>
    <w:rsid w:val="00065B7E"/>
    <w:rsid w:val="00066EAE"/>
    <w:rsid w:val="00070BBC"/>
    <w:rsid w:val="000751F0"/>
    <w:rsid w:val="0007566F"/>
    <w:rsid w:val="00075F56"/>
    <w:rsid w:val="00076087"/>
    <w:rsid w:val="00076A0B"/>
    <w:rsid w:val="00076F18"/>
    <w:rsid w:val="00076FE4"/>
    <w:rsid w:val="000774BB"/>
    <w:rsid w:val="000779DF"/>
    <w:rsid w:val="000802A3"/>
    <w:rsid w:val="00081990"/>
    <w:rsid w:val="00083D5E"/>
    <w:rsid w:val="00084101"/>
    <w:rsid w:val="00085088"/>
    <w:rsid w:val="000859D5"/>
    <w:rsid w:val="000905F1"/>
    <w:rsid w:val="00091C75"/>
    <w:rsid w:val="0009230C"/>
    <w:rsid w:val="000928BB"/>
    <w:rsid w:val="0009398E"/>
    <w:rsid w:val="000949E8"/>
    <w:rsid w:val="00094DEB"/>
    <w:rsid w:val="0009579D"/>
    <w:rsid w:val="00096066"/>
    <w:rsid w:val="0009619A"/>
    <w:rsid w:val="00096E97"/>
    <w:rsid w:val="00097A22"/>
    <w:rsid w:val="000A003B"/>
    <w:rsid w:val="000A32D2"/>
    <w:rsid w:val="000A35A3"/>
    <w:rsid w:val="000A3B59"/>
    <w:rsid w:val="000A4485"/>
    <w:rsid w:val="000A4CC3"/>
    <w:rsid w:val="000B3699"/>
    <w:rsid w:val="000B3D85"/>
    <w:rsid w:val="000B3E48"/>
    <w:rsid w:val="000B4395"/>
    <w:rsid w:val="000C0B03"/>
    <w:rsid w:val="000C200D"/>
    <w:rsid w:val="000C24CD"/>
    <w:rsid w:val="000C26AA"/>
    <w:rsid w:val="000C3040"/>
    <w:rsid w:val="000C495A"/>
    <w:rsid w:val="000C5452"/>
    <w:rsid w:val="000C55C9"/>
    <w:rsid w:val="000C6699"/>
    <w:rsid w:val="000C6C8C"/>
    <w:rsid w:val="000C73EE"/>
    <w:rsid w:val="000D02D3"/>
    <w:rsid w:val="000D16A2"/>
    <w:rsid w:val="000D3591"/>
    <w:rsid w:val="000D4A42"/>
    <w:rsid w:val="000E2A18"/>
    <w:rsid w:val="000E4695"/>
    <w:rsid w:val="000E510B"/>
    <w:rsid w:val="000E6D04"/>
    <w:rsid w:val="000E7084"/>
    <w:rsid w:val="000F0B81"/>
    <w:rsid w:val="000F1402"/>
    <w:rsid w:val="000F2460"/>
    <w:rsid w:val="000F2A7C"/>
    <w:rsid w:val="000F2F92"/>
    <w:rsid w:val="000F3D0C"/>
    <w:rsid w:val="000F3E54"/>
    <w:rsid w:val="000F4449"/>
    <w:rsid w:val="000F4542"/>
    <w:rsid w:val="000F4995"/>
    <w:rsid w:val="000F4EAF"/>
    <w:rsid w:val="00102F77"/>
    <w:rsid w:val="00102F9A"/>
    <w:rsid w:val="00103BCC"/>
    <w:rsid w:val="00104AD7"/>
    <w:rsid w:val="00106DBC"/>
    <w:rsid w:val="00107323"/>
    <w:rsid w:val="0010763D"/>
    <w:rsid w:val="00111E51"/>
    <w:rsid w:val="0011333F"/>
    <w:rsid w:val="001150E0"/>
    <w:rsid w:val="00115B4E"/>
    <w:rsid w:val="00116180"/>
    <w:rsid w:val="00116469"/>
    <w:rsid w:val="0011756A"/>
    <w:rsid w:val="00117E9A"/>
    <w:rsid w:val="00121CD1"/>
    <w:rsid w:val="00121D46"/>
    <w:rsid w:val="00124768"/>
    <w:rsid w:val="00124FDA"/>
    <w:rsid w:val="001252A0"/>
    <w:rsid w:val="001257E4"/>
    <w:rsid w:val="00127F34"/>
    <w:rsid w:val="00130AF6"/>
    <w:rsid w:val="00131024"/>
    <w:rsid w:val="00132DC6"/>
    <w:rsid w:val="001332C3"/>
    <w:rsid w:val="00133DB0"/>
    <w:rsid w:val="00133EAC"/>
    <w:rsid w:val="00133F47"/>
    <w:rsid w:val="00134930"/>
    <w:rsid w:val="00134E38"/>
    <w:rsid w:val="001406D6"/>
    <w:rsid w:val="00140C3D"/>
    <w:rsid w:val="00141FC7"/>
    <w:rsid w:val="001421B8"/>
    <w:rsid w:val="00144B47"/>
    <w:rsid w:val="0014549D"/>
    <w:rsid w:val="001464FC"/>
    <w:rsid w:val="0015046C"/>
    <w:rsid w:val="001504CE"/>
    <w:rsid w:val="00152456"/>
    <w:rsid w:val="00153957"/>
    <w:rsid w:val="00154113"/>
    <w:rsid w:val="00154603"/>
    <w:rsid w:val="00156621"/>
    <w:rsid w:val="0015792B"/>
    <w:rsid w:val="00157C71"/>
    <w:rsid w:val="00160A4B"/>
    <w:rsid w:val="001614A8"/>
    <w:rsid w:val="0016236A"/>
    <w:rsid w:val="00162452"/>
    <w:rsid w:val="00163C18"/>
    <w:rsid w:val="00164873"/>
    <w:rsid w:val="00164ECE"/>
    <w:rsid w:val="001658FF"/>
    <w:rsid w:val="001676DC"/>
    <w:rsid w:val="00167894"/>
    <w:rsid w:val="00167992"/>
    <w:rsid w:val="00170695"/>
    <w:rsid w:val="00172289"/>
    <w:rsid w:val="00172D39"/>
    <w:rsid w:val="00172D9A"/>
    <w:rsid w:val="00174185"/>
    <w:rsid w:val="00174867"/>
    <w:rsid w:val="00174C97"/>
    <w:rsid w:val="00174D5D"/>
    <w:rsid w:val="0017685D"/>
    <w:rsid w:val="001778C6"/>
    <w:rsid w:val="00177FB4"/>
    <w:rsid w:val="00181E2A"/>
    <w:rsid w:val="001824CE"/>
    <w:rsid w:val="00185EF0"/>
    <w:rsid w:val="001877F2"/>
    <w:rsid w:val="00190F42"/>
    <w:rsid w:val="00193F89"/>
    <w:rsid w:val="00195577"/>
    <w:rsid w:val="00196CAD"/>
    <w:rsid w:val="001A0640"/>
    <w:rsid w:val="001A2274"/>
    <w:rsid w:val="001A2445"/>
    <w:rsid w:val="001A458E"/>
    <w:rsid w:val="001A4770"/>
    <w:rsid w:val="001A4D33"/>
    <w:rsid w:val="001A5AE0"/>
    <w:rsid w:val="001A6653"/>
    <w:rsid w:val="001A77DD"/>
    <w:rsid w:val="001B0107"/>
    <w:rsid w:val="001B0E55"/>
    <w:rsid w:val="001B108E"/>
    <w:rsid w:val="001B21CD"/>
    <w:rsid w:val="001B7E83"/>
    <w:rsid w:val="001C062D"/>
    <w:rsid w:val="001C15CB"/>
    <w:rsid w:val="001C23CF"/>
    <w:rsid w:val="001C25D8"/>
    <w:rsid w:val="001C25E6"/>
    <w:rsid w:val="001C26C7"/>
    <w:rsid w:val="001C2EF4"/>
    <w:rsid w:val="001C2F8C"/>
    <w:rsid w:val="001C3A38"/>
    <w:rsid w:val="001C4DC1"/>
    <w:rsid w:val="001C7917"/>
    <w:rsid w:val="001D23F2"/>
    <w:rsid w:val="001D27BC"/>
    <w:rsid w:val="001D38FC"/>
    <w:rsid w:val="001D4479"/>
    <w:rsid w:val="001D5AB0"/>
    <w:rsid w:val="001D6ED7"/>
    <w:rsid w:val="001D72AE"/>
    <w:rsid w:val="001D7496"/>
    <w:rsid w:val="001E01BB"/>
    <w:rsid w:val="001E0441"/>
    <w:rsid w:val="001E0AC2"/>
    <w:rsid w:val="001E2696"/>
    <w:rsid w:val="001E2D3B"/>
    <w:rsid w:val="001E3117"/>
    <w:rsid w:val="001E3B90"/>
    <w:rsid w:val="001E4CF5"/>
    <w:rsid w:val="001E6BC5"/>
    <w:rsid w:val="001E6E35"/>
    <w:rsid w:val="001E7098"/>
    <w:rsid w:val="001E7CC6"/>
    <w:rsid w:val="001F057E"/>
    <w:rsid w:val="001F081A"/>
    <w:rsid w:val="001F2E19"/>
    <w:rsid w:val="001F60D3"/>
    <w:rsid w:val="001F6B4B"/>
    <w:rsid w:val="001F7F94"/>
    <w:rsid w:val="00201AD0"/>
    <w:rsid w:val="002022A7"/>
    <w:rsid w:val="00203B6E"/>
    <w:rsid w:val="002056A1"/>
    <w:rsid w:val="00206F0F"/>
    <w:rsid w:val="0020739B"/>
    <w:rsid w:val="0020749E"/>
    <w:rsid w:val="00210490"/>
    <w:rsid w:val="00211598"/>
    <w:rsid w:val="00212618"/>
    <w:rsid w:val="00212E47"/>
    <w:rsid w:val="00213C68"/>
    <w:rsid w:val="002168D6"/>
    <w:rsid w:val="0021690D"/>
    <w:rsid w:val="0021699B"/>
    <w:rsid w:val="00216F41"/>
    <w:rsid w:val="002170FF"/>
    <w:rsid w:val="002172CB"/>
    <w:rsid w:val="00217D13"/>
    <w:rsid w:val="0022308A"/>
    <w:rsid w:val="002247B2"/>
    <w:rsid w:val="00227B8D"/>
    <w:rsid w:val="002339EB"/>
    <w:rsid w:val="00233C7B"/>
    <w:rsid w:val="002340B1"/>
    <w:rsid w:val="00234A81"/>
    <w:rsid w:val="002358AF"/>
    <w:rsid w:val="00240215"/>
    <w:rsid w:val="00240D4C"/>
    <w:rsid w:val="00241384"/>
    <w:rsid w:val="002424A6"/>
    <w:rsid w:val="002425F6"/>
    <w:rsid w:val="002438CD"/>
    <w:rsid w:val="00250768"/>
    <w:rsid w:val="002508FF"/>
    <w:rsid w:val="00252818"/>
    <w:rsid w:val="002534D0"/>
    <w:rsid w:val="002539E2"/>
    <w:rsid w:val="00254034"/>
    <w:rsid w:val="00254D2C"/>
    <w:rsid w:val="002558AF"/>
    <w:rsid w:val="002562A4"/>
    <w:rsid w:val="00256C06"/>
    <w:rsid w:val="00257CA9"/>
    <w:rsid w:val="002602B0"/>
    <w:rsid w:val="00260BA2"/>
    <w:rsid w:val="00261080"/>
    <w:rsid w:val="002640E9"/>
    <w:rsid w:val="00264EBA"/>
    <w:rsid w:val="0026723B"/>
    <w:rsid w:val="00267F7B"/>
    <w:rsid w:val="00267FBE"/>
    <w:rsid w:val="0027090A"/>
    <w:rsid w:val="00271550"/>
    <w:rsid w:val="00271C97"/>
    <w:rsid w:val="0027368D"/>
    <w:rsid w:val="00273ADB"/>
    <w:rsid w:val="002751A4"/>
    <w:rsid w:val="00277999"/>
    <w:rsid w:val="002811B8"/>
    <w:rsid w:val="0028152B"/>
    <w:rsid w:val="00281531"/>
    <w:rsid w:val="002819D3"/>
    <w:rsid w:val="00282B57"/>
    <w:rsid w:val="0028313E"/>
    <w:rsid w:val="002837B4"/>
    <w:rsid w:val="00285629"/>
    <w:rsid w:val="00285A0E"/>
    <w:rsid w:val="00285C94"/>
    <w:rsid w:val="00287ABC"/>
    <w:rsid w:val="00287E47"/>
    <w:rsid w:val="0029090F"/>
    <w:rsid w:val="002911EB"/>
    <w:rsid w:val="0029347C"/>
    <w:rsid w:val="002947C0"/>
    <w:rsid w:val="00297D19"/>
    <w:rsid w:val="002A1415"/>
    <w:rsid w:val="002A2A4D"/>
    <w:rsid w:val="002A2ABC"/>
    <w:rsid w:val="002A3E83"/>
    <w:rsid w:val="002A5DD0"/>
    <w:rsid w:val="002A65B5"/>
    <w:rsid w:val="002B1903"/>
    <w:rsid w:val="002B33A7"/>
    <w:rsid w:val="002B3B08"/>
    <w:rsid w:val="002B539B"/>
    <w:rsid w:val="002B5415"/>
    <w:rsid w:val="002B5540"/>
    <w:rsid w:val="002B766F"/>
    <w:rsid w:val="002C1002"/>
    <w:rsid w:val="002C3240"/>
    <w:rsid w:val="002C4091"/>
    <w:rsid w:val="002C5061"/>
    <w:rsid w:val="002C552A"/>
    <w:rsid w:val="002D07E6"/>
    <w:rsid w:val="002D0C52"/>
    <w:rsid w:val="002D1D0B"/>
    <w:rsid w:val="002D361C"/>
    <w:rsid w:val="002D372F"/>
    <w:rsid w:val="002D39DD"/>
    <w:rsid w:val="002D7F84"/>
    <w:rsid w:val="002E0E77"/>
    <w:rsid w:val="002E0EEE"/>
    <w:rsid w:val="002E1DA8"/>
    <w:rsid w:val="002E2902"/>
    <w:rsid w:val="002E4A23"/>
    <w:rsid w:val="002E55FA"/>
    <w:rsid w:val="002E6404"/>
    <w:rsid w:val="002E6B94"/>
    <w:rsid w:val="002E6DA5"/>
    <w:rsid w:val="002E7129"/>
    <w:rsid w:val="002E7260"/>
    <w:rsid w:val="002E7E55"/>
    <w:rsid w:val="002F20B5"/>
    <w:rsid w:val="002F326C"/>
    <w:rsid w:val="002F3637"/>
    <w:rsid w:val="002F4B52"/>
    <w:rsid w:val="002F4C2B"/>
    <w:rsid w:val="002F534F"/>
    <w:rsid w:val="002F7225"/>
    <w:rsid w:val="002F7B63"/>
    <w:rsid w:val="00300AF3"/>
    <w:rsid w:val="00300B1A"/>
    <w:rsid w:val="003017D9"/>
    <w:rsid w:val="00301A54"/>
    <w:rsid w:val="0030280C"/>
    <w:rsid w:val="00302B1D"/>
    <w:rsid w:val="00303A74"/>
    <w:rsid w:val="00304FAE"/>
    <w:rsid w:val="003053F3"/>
    <w:rsid w:val="0030541F"/>
    <w:rsid w:val="00305A80"/>
    <w:rsid w:val="00305F46"/>
    <w:rsid w:val="003072F9"/>
    <w:rsid w:val="003103E1"/>
    <w:rsid w:val="0031149C"/>
    <w:rsid w:val="00311E1E"/>
    <w:rsid w:val="003121A0"/>
    <w:rsid w:val="003142F8"/>
    <w:rsid w:val="003150BB"/>
    <w:rsid w:val="003157FC"/>
    <w:rsid w:val="00315F06"/>
    <w:rsid w:val="00316760"/>
    <w:rsid w:val="00320E31"/>
    <w:rsid w:val="00321168"/>
    <w:rsid w:val="003212E9"/>
    <w:rsid w:val="00321C0C"/>
    <w:rsid w:val="003242F1"/>
    <w:rsid w:val="00324C4C"/>
    <w:rsid w:val="00326BA9"/>
    <w:rsid w:val="00331C5F"/>
    <w:rsid w:val="00335792"/>
    <w:rsid w:val="00335FEF"/>
    <w:rsid w:val="00337583"/>
    <w:rsid w:val="00337776"/>
    <w:rsid w:val="003405DA"/>
    <w:rsid w:val="00341700"/>
    <w:rsid w:val="00344542"/>
    <w:rsid w:val="0035008A"/>
    <w:rsid w:val="0035032B"/>
    <w:rsid w:val="00350339"/>
    <w:rsid w:val="00350BC5"/>
    <w:rsid w:val="003514FC"/>
    <w:rsid w:val="003519E6"/>
    <w:rsid w:val="00352C46"/>
    <w:rsid w:val="00353049"/>
    <w:rsid w:val="00355412"/>
    <w:rsid w:val="00355DA0"/>
    <w:rsid w:val="00356110"/>
    <w:rsid w:val="00360574"/>
    <w:rsid w:val="00360FDC"/>
    <w:rsid w:val="00362B73"/>
    <w:rsid w:val="003634AD"/>
    <w:rsid w:val="00364051"/>
    <w:rsid w:val="0036405D"/>
    <w:rsid w:val="00365EF1"/>
    <w:rsid w:val="00365F59"/>
    <w:rsid w:val="0036637E"/>
    <w:rsid w:val="003679A7"/>
    <w:rsid w:val="00370CC5"/>
    <w:rsid w:val="00371257"/>
    <w:rsid w:val="003728D2"/>
    <w:rsid w:val="0037440F"/>
    <w:rsid w:val="00375D84"/>
    <w:rsid w:val="00376482"/>
    <w:rsid w:val="00380181"/>
    <w:rsid w:val="00381796"/>
    <w:rsid w:val="00383013"/>
    <w:rsid w:val="00384386"/>
    <w:rsid w:val="00384C8B"/>
    <w:rsid w:val="0038727E"/>
    <w:rsid w:val="00390357"/>
    <w:rsid w:val="003903A1"/>
    <w:rsid w:val="003915FB"/>
    <w:rsid w:val="00392BC6"/>
    <w:rsid w:val="00393175"/>
    <w:rsid w:val="00393765"/>
    <w:rsid w:val="00393948"/>
    <w:rsid w:val="0039751A"/>
    <w:rsid w:val="003A0463"/>
    <w:rsid w:val="003A3091"/>
    <w:rsid w:val="003A407F"/>
    <w:rsid w:val="003A4492"/>
    <w:rsid w:val="003A7B0C"/>
    <w:rsid w:val="003B0134"/>
    <w:rsid w:val="003B1D00"/>
    <w:rsid w:val="003B21C1"/>
    <w:rsid w:val="003B28F1"/>
    <w:rsid w:val="003B327A"/>
    <w:rsid w:val="003B3FFC"/>
    <w:rsid w:val="003B591E"/>
    <w:rsid w:val="003B5C45"/>
    <w:rsid w:val="003B5D6F"/>
    <w:rsid w:val="003B602A"/>
    <w:rsid w:val="003B694E"/>
    <w:rsid w:val="003B70B5"/>
    <w:rsid w:val="003C03DD"/>
    <w:rsid w:val="003C3316"/>
    <w:rsid w:val="003C3372"/>
    <w:rsid w:val="003C4D6C"/>
    <w:rsid w:val="003C609D"/>
    <w:rsid w:val="003C64A9"/>
    <w:rsid w:val="003C66B9"/>
    <w:rsid w:val="003C6A1C"/>
    <w:rsid w:val="003C7090"/>
    <w:rsid w:val="003D0AC7"/>
    <w:rsid w:val="003D15E4"/>
    <w:rsid w:val="003E0858"/>
    <w:rsid w:val="003E219E"/>
    <w:rsid w:val="003E362C"/>
    <w:rsid w:val="003E4E8D"/>
    <w:rsid w:val="003E5E50"/>
    <w:rsid w:val="003F138A"/>
    <w:rsid w:val="003F1450"/>
    <w:rsid w:val="003F1D7C"/>
    <w:rsid w:val="003F34BC"/>
    <w:rsid w:val="003F62DD"/>
    <w:rsid w:val="00400319"/>
    <w:rsid w:val="00402E16"/>
    <w:rsid w:val="00403A9F"/>
    <w:rsid w:val="00404379"/>
    <w:rsid w:val="00404470"/>
    <w:rsid w:val="004059D1"/>
    <w:rsid w:val="00405C77"/>
    <w:rsid w:val="0040615C"/>
    <w:rsid w:val="004070F7"/>
    <w:rsid w:val="00410F82"/>
    <w:rsid w:val="00410FD0"/>
    <w:rsid w:val="004116BE"/>
    <w:rsid w:val="00411E75"/>
    <w:rsid w:val="00411F0D"/>
    <w:rsid w:val="00412569"/>
    <w:rsid w:val="00413770"/>
    <w:rsid w:val="00415E80"/>
    <w:rsid w:val="00416A0C"/>
    <w:rsid w:val="00416E6E"/>
    <w:rsid w:val="00417171"/>
    <w:rsid w:val="00417DA8"/>
    <w:rsid w:val="00422CD3"/>
    <w:rsid w:val="00423AB2"/>
    <w:rsid w:val="00424576"/>
    <w:rsid w:val="004245B3"/>
    <w:rsid w:val="00424D4B"/>
    <w:rsid w:val="00425192"/>
    <w:rsid w:val="00426246"/>
    <w:rsid w:val="00426B0A"/>
    <w:rsid w:val="00426C58"/>
    <w:rsid w:val="00430FF1"/>
    <w:rsid w:val="0043382F"/>
    <w:rsid w:val="004352E5"/>
    <w:rsid w:val="00435F54"/>
    <w:rsid w:val="0043613B"/>
    <w:rsid w:val="00437D1D"/>
    <w:rsid w:val="004403B4"/>
    <w:rsid w:val="00440636"/>
    <w:rsid w:val="00440767"/>
    <w:rsid w:val="00443947"/>
    <w:rsid w:val="0044457F"/>
    <w:rsid w:val="00444D70"/>
    <w:rsid w:val="004463D3"/>
    <w:rsid w:val="00446527"/>
    <w:rsid w:val="0044719D"/>
    <w:rsid w:val="004473C5"/>
    <w:rsid w:val="00450174"/>
    <w:rsid w:val="00453948"/>
    <w:rsid w:val="00455401"/>
    <w:rsid w:val="00455617"/>
    <w:rsid w:val="00455B17"/>
    <w:rsid w:val="00456450"/>
    <w:rsid w:val="00456467"/>
    <w:rsid w:val="00456A2E"/>
    <w:rsid w:val="00456D39"/>
    <w:rsid w:val="00457D15"/>
    <w:rsid w:val="00457F72"/>
    <w:rsid w:val="00460247"/>
    <w:rsid w:val="00460F19"/>
    <w:rsid w:val="00461AF7"/>
    <w:rsid w:val="00461F33"/>
    <w:rsid w:val="00462389"/>
    <w:rsid w:val="00462D33"/>
    <w:rsid w:val="00465D75"/>
    <w:rsid w:val="0046770B"/>
    <w:rsid w:val="004735E2"/>
    <w:rsid w:val="0047678A"/>
    <w:rsid w:val="00477B87"/>
    <w:rsid w:val="00477DC5"/>
    <w:rsid w:val="00481925"/>
    <w:rsid w:val="00484062"/>
    <w:rsid w:val="00486895"/>
    <w:rsid w:val="004876D1"/>
    <w:rsid w:val="00487744"/>
    <w:rsid w:val="004907B2"/>
    <w:rsid w:val="004913A8"/>
    <w:rsid w:val="00493B4F"/>
    <w:rsid w:val="00494FA9"/>
    <w:rsid w:val="0049573A"/>
    <w:rsid w:val="00495BF8"/>
    <w:rsid w:val="00496F0F"/>
    <w:rsid w:val="004A2137"/>
    <w:rsid w:val="004A33C1"/>
    <w:rsid w:val="004A34B9"/>
    <w:rsid w:val="004A41CA"/>
    <w:rsid w:val="004A5956"/>
    <w:rsid w:val="004A7401"/>
    <w:rsid w:val="004B0828"/>
    <w:rsid w:val="004B0847"/>
    <w:rsid w:val="004B08A2"/>
    <w:rsid w:val="004B43D1"/>
    <w:rsid w:val="004B4AD1"/>
    <w:rsid w:val="004B5DA2"/>
    <w:rsid w:val="004B6192"/>
    <w:rsid w:val="004B6F84"/>
    <w:rsid w:val="004C0C1D"/>
    <w:rsid w:val="004C1170"/>
    <w:rsid w:val="004C34FF"/>
    <w:rsid w:val="004C35A5"/>
    <w:rsid w:val="004C3856"/>
    <w:rsid w:val="004C3E22"/>
    <w:rsid w:val="004C4531"/>
    <w:rsid w:val="004C4A2F"/>
    <w:rsid w:val="004C6002"/>
    <w:rsid w:val="004C7891"/>
    <w:rsid w:val="004C7B16"/>
    <w:rsid w:val="004C7BD6"/>
    <w:rsid w:val="004D104D"/>
    <w:rsid w:val="004D38A6"/>
    <w:rsid w:val="004D3EB0"/>
    <w:rsid w:val="004D43A9"/>
    <w:rsid w:val="004D44D3"/>
    <w:rsid w:val="004D5141"/>
    <w:rsid w:val="004D5302"/>
    <w:rsid w:val="004D6574"/>
    <w:rsid w:val="004D69EE"/>
    <w:rsid w:val="004D71F2"/>
    <w:rsid w:val="004E1D52"/>
    <w:rsid w:val="004E1D76"/>
    <w:rsid w:val="004E4B09"/>
    <w:rsid w:val="004E523F"/>
    <w:rsid w:val="004E5CBD"/>
    <w:rsid w:val="004F01AC"/>
    <w:rsid w:val="004F1747"/>
    <w:rsid w:val="004F4C10"/>
    <w:rsid w:val="004F5234"/>
    <w:rsid w:val="004F656A"/>
    <w:rsid w:val="005005D9"/>
    <w:rsid w:val="005016CB"/>
    <w:rsid w:val="0050184E"/>
    <w:rsid w:val="0050227E"/>
    <w:rsid w:val="005040EB"/>
    <w:rsid w:val="005046CF"/>
    <w:rsid w:val="00504A49"/>
    <w:rsid w:val="00505E87"/>
    <w:rsid w:val="0050697A"/>
    <w:rsid w:val="00507162"/>
    <w:rsid w:val="00507366"/>
    <w:rsid w:val="00510BAF"/>
    <w:rsid w:val="00512EB2"/>
    <w:rsid w:val="005139B6"/>
    <w:rsid w:val="0051443B"/>
    <w:rsid w:val="00514BB0"/>
    <w:rsid w:val="00515440"/>
    <w:rsid w:val="00516095"/>
    <w:rsid w:val="0051626C"/>
    <w:rsid w:val="0051722D"/>
    <w:rsid w:val="00517E9D"/>
    <w:rsid w:val="00520938"/>
    <w:rsid w:val="00520C1E"/>
    <w:rsid w:val="00521BC8"/>
    <w:rsid w:val="0052278D"/>
    <w:rsid w:val="00523541"/>
    <w:rsid w:val="00523650"/>
    <w:rsid w:val="0052396D"/>
    <w:rsid w:val="005256B6"/>
    <w:rsid w:val="00527FB0"/>
    <w:rsid w:val="005307AB"/>
    <w:rsid w:val="00531275"/>
    <w:rsid w:val="0053267B"/>
    <w:rsid w:val="005329C5"/>
    <w:rsid w:val="005334CC"/>
    <w:rsid w:val="0053531C"/>
    <w:rsid w:val="0053540A"/>
    <w:rsid w:val="00535851"/>
    <w:rsid w:val="00536BA2"/>
    <w:rsid w:val="005370CA"/>
    <w:rsid w:val="00541778"/>
    <w:rsid w:val="00544B8C"/>
    <w:rsid w:val="00544BBF"/>
    <w:rsid w:val="00550506"/>
    <w:rsid w:val="00550757"/>
    <w:rsid w:val="00550DA7"/>
    <w:rsid w:val="00551B08"/>
    <w:rsid w:val="005554B7"/>
    <w:rsid w:val="00560393"/>
    <w:rsid w:val="00562BBA"/>
    <w:rsid w:val="0056342E"/>
    <w:rsid w:val="00563447"/>
    <w:rsid w:val="00566C68"/>
    <w:rsid w:val="00567152"/>
    <w:rsid w:val="00567D1E"/>
    <w:rsid w:val="0057002C"/>
    <w:rsid w:val="00571995"/>
    <w:rsid w:val="00572E90"/>
    <w:rsid w:val="00573F3A"/>
    <w:rsid w:val="00574C20"/>
    <w:rsid w:val="005755B0"/>
    <w:rsid w:val="0057616E"/>
    <w:rsid w:val="00576323"/>
    <w:rsid w:val="00580BCD"/>
    <w:rsid w:val="00581534"/>
    <w:rsid w:val="00582E9A"/>
    <w:rsid w:val="00582FC0"/>
    <w:rsid w:val="0058607A"/>
    <w:rsid w:val="00586AF7"/>
    <w:rsid w:val="00591996"/>
    <w:rsid w:val="00591F29"/>
    <w:rsid w:val="00593098"/>
    <w:rsid w:val="005938F7"/>
    <w:rsid w:val="00593C94"/>
    <w:rsid w:val="0059586B"/>
    <w:rsid w:val="00595C93"/>
    <w:rsid w:val="00595D0E"/>
    <w:rsid w:val="00597F1A"/>
    <w:rsid w:val="005A08B9"/>
    <w:rsid w:val="005A0CFC"/>
    <w:rsid w:val="005A0DAB"/>
    <w:rsid w:val="005A0FE7"/>
    <w:rsid w:val="005A2229"/>
    <w:rsid w:val="005A26E7"/>
    <w:rsid w:val="005A2ACE"/>
    <w:rsid w:val="005A3000"/>
    <w:rsid w:val="005A3397"/>
    <w:rsid w:val="005A3A02"/>
    <w:rsid w:val="005A7D49"/>
    <w:rsid w:val="005A7DC8"/>
    <w:rsid w:val="005B26DE"/>
    <w:rsid w:val="005B427F"/>
    <w:rsid w:val="005B4665"/>
    <w:rsid w:val="005B7139"/>
    <w:rsid w:val="005B7A81"/>
    <w:rsid w:val="005B7C64"/>
    <w:rsid w:val="005B7F6B"/>
    <w:rsid w:val="005C18DC"/>
    <w:rsid w:val="005C1F96"/>
    <w:rsid w:val="005C298B"/>
    <w:rsid w:val="005C2B6C"/>
    <w:rsid w:val="005C52E2"/>
    <w:rsid w:val="005C546B"/>
    <w:rsid w:val="005C55F5"/>
    <w:rsid w:val="005C5892"/>
    <w:rsid w:val="005C5C7C"/>
    <w:rsid w:val="005C6553"/>
    <w:rsid w:val="005C6908"/>
    <w:rsid w:val="005C6EF2"/>
    <w:rsid w:val="005C7EFB"/>
    <w:rsid w:val="005D0F6E"/>
    <w:rsid w:val="005D21C4"/>
    <w:rsid w:val="005D22C5"/>
    <w:rsid w:val="005D25FB"/>
    <w:rsid w:val="005D27A2"/>
    <w:rsid w:val="005D2C57"/>
    <w:rsid w:val="005D6458"/>
    <w:rsid w:val="005D65F2"/>
    <w:rsid w:val="005D799F"/>
    <w:rsid w:val="005E1747"/>
    <w:rsid w:val="005E2E12"/>
    <w:rsid w:val="005E30D9"/>
    <w:rsid w:val="005E3287"/>
    <w:rsid w:val="005E3C4E"/>
    <w:rsid w:val="005E40BF"/>
    <w:rsid w:val="005E43C5"/>
    <w:rsid w:val="005E4CDA"/>
    <w:rsid w:val="005E518F"/>
    <w:rsid w:val="005F1467"/>
    <w:rsid w:val="005F1474"/>
    <w:rsid w:val="005F3E4D"/>
    <w:rsid w:val="005F4407"/>
    <w:rsid w:val="005F5C93"/>
    <w:rsid w:val="005F6F24"/>
    <w:rsid w:val="00600278"/>
    <w:rsid w:val="006016A8"/>
    <w:rsid w:val="00601FF1"/>
    <w:rsid w:val="00603B1B"/>
    <w:rsid w:val="00604971"/>
    <w:rsid w:val="0060623C"/>
    <w:rsid w:val="00610B3C"/>
    <w:rsid w:val="00611CA3"/>
    <w:rsid w:val="006137A1"/>
    <w:rsid w:val="00614035"/>
    <w:rsid w:val="00614CA8"/>
    <w:rsid w:val="0061521B"/>
    <w:rsid w:val="006160F1"/>
    <w:rsid w:val="00617E9C"/>
    <w:rsid w:val="0062045D"/>
    <w:rsid w:val="0062093D"/>
    <w:rsid w:val="00622AE7"/>
    <w:rsid w:val="006233A4"/>
    <w:rsid w:val="00623D18"/>
    <w:rsid w:val="006240E4"/>
    <w:rsid w:val="006262B7"/>
    <w:rsid w:val="00627358"/>
    <w:rsid w:val="006309BD"/>
    <w:rsid w:val="00631038"/>
    <w:rsid w:val="006312E9"/>
    <w:rsid w:val="006344CA"/>
    <w:rsid w:val="00635D88"/>
    <w:rsid w:val="00636B47"/>
    <w:rsid w:val="0064201A"/>
    <w:rsid w:val="00642397"/>
    <w:rsid w:val="00642B21"/>
    <w:rsid w:val="006446CA"/>
    <w:rsid w:val="00650310"/>
    <w:rsid w:val="006538F0"/>
    <w:rsid w:val="00660CA9"/>
    <w:rsid w:val="006617E6"/>
    <w:rsid w:val="0066182D"/>
    <w:rsid w:val="00662C40"/>
    <w:rsid w:val="00663B20"/>
    <w:rsid w:val="00664360"/>
    <w:rsid w:val="00665E4C"/>
    <w:rsid w:val="00667E84"/>
    <w:rsid w:val="00671112"/>
    <w:rsid w:val="00672390"/>
    <w:rsid w:val="006725FD"/>
    <w:rsid w:val="00674120"/>
    <w:rsid w:val="00674963"/>
    <w:rsid w:val="0067525D"/>
    <w:rsid w:val="00675D0B"/>
    <w:rsid w:val="00677E6B"/>
    <w:rsid w:val="00682D5C"/>
    <w:rsid w:val="00682DB8"/>
    <w:rsid w:val="0068363E"/>
    <w:rsid w:val="00684379"/>
    <w:rsid w:val="0068473B"/>
    <w:rsid w:val="006857E9"/>
    <w:rsid w:val="006859D0"/>
    <w:rsid w:val="00685DE0"/>
    <w:rsid w:val="00686627"/>
    <w:rsid w:val="00687406"/>
    <w:rsid w:val="00687860"/>
    <w:rsid w:val="00690324"/>
    <w:rsid w:val="0069202D"/>
    <w:rsid w:val="006945E5"/>
    <w:rsid w:val="006951E2"/>
    <w:rsid w:val="00695654"/>
    <w:rsid w:val="006956BC"/>
    <w:rsid w:val="006A0275"/>
    <w:rsid w:val="006A1609"/>
    <w:rsid w:val="006A2296"/>
    <w:rsid w:val="006A2D5A"/>
    <w:rsid w:val="006A5115"/>
    <w:rsid w:val="006A7C8A"/>
    <w:rsid w:val="006B19A8"/>
    <w:rsid w:val="006B237D"/>
    <w:rsid w:val="006B27E2"/>
    <w:rsid w:val="006B286D"/>
    <w:rsid w:val="006B3132"/>
    <w:rsid w:val="006B4905"/>
    <w:rsid w:val="006B5E32"/>
    <w:rsid w:val="006C0415"/>
    <w:rsid w:val="006C060E"/>
    <w:rsid w:val="006C18CA"/>
    <w:rsid w:val="006C3F19"/>
    <w:rsid w:val="006C50B4"/>
    <w:rsid w:val="006C5BFF"/>
    <w:rsid w:val="006C6628"/>
    <w:rsid w:val="006C73C5"/>
    <w:rsid w:val="006C79E9"/>
    <w:rsid w:val="006D0341"/>
    <w:rsid w:val="006D2627"/>
    <w:rsid w:val="006D590F"/>
    <w:rsid w:val="006D6C12"/>
    <w:rsid w:val="006E0876"/>
    <w:rsid w:val="006E1525"/>
    <w:rsid w:val="006E1CEA"/>
    <w:rsid w:val="006E4349"/>
    <w:rsid w:val="006E45BD"/>
    <w:rsid w:val="006E7221"/>
    <w:rsid w:val="006F0273"/>
    <w:rsid w:val="006F0E9B"/>
    <w:rsid w:val="006F1625"/>
    <w:rsid w:val="006F3D7C"/>
    <w:rsid w:val="006F59C7"/>
    <w:rsid w:val="006F5B4A"/>
    <w:rsid w:val="006F67A4"/>
    <w:rsid w:val="006F6B19"/>
    <w:rsid w:val="00701FC1"/>
    <w:rsid w:val="007023ED"/>
    <w:rsid w:val="007033ED"/>
    <w:rsid w:val="00703E48"/>
    <w:rsid w:val="00705EED"/>
    <w:rsid w:val="00707067"/>
    <w:rsid w:val="00711538"/>
    <w:rsid w:val="007121EC"/>
    <w:rsid w:val="0071270E"/>
    <w:rsid w:val="00712EAC"/>
    <w:rsid w:val="0071430F"/>
    <w:rsid w:val="00714CB2"/>
    <w:rsid w:val="00721FFF"/>
    <w:rsid w:val="00722F73"/>
    <w:rsid w:val="007234BD"/>
    <w:rsid w:val="00723B84"/>
    <w:rsid w:val="00725CB9"/>
    <w:rsid w:val="00725E9D"/>
    <w:rsid w:val="00725FF4"/>
    <w:rsid w:val="007261C2"/>
    <w:rsid w:val="00730CAD"/>
    <w:rsid w:val="0073129B"/>
    <w:rsid w:val="007312BD"/>
    <w:rsid w:val="00731E2D"/>
    <w:rsid w:val="00732328"/>
    <w:rsid w:val="0073437A"/>
    <w:rsid w:val="00734892"/>
    <w:rsid w:val="00735F9B"/>
    <w:rsid w:val="0073650D"/>
    <w:rsid w:val="00736DE1"/>
    <w:rsid w:val="00736EC9"/>
    <w:rsid w:val="007402C8"/>
    <w:rsid w:val="007411CB"/>
    <w:rsid w:val="00741C06"/>
    <w:rsid w:val="0074281B"/>
    <w:rsid w:val="0074440A"/>
    <w:rsid w:val="007449B0"/>
    <w:rsid w:val="00745FA2"/>
    <w:rsid w:val="007466D8"/>
    <w:rsid w:val="00751B5E"/>
    <w:rsid w:val="0075372F"/>
    <w:rsid w:val="00755CF5"/>
    <w:rsid w:val="007611D7"/>
    <w:rsid w:val="007613AF"/>
    <w:rsid w:val="00765D31"/>
    <w:rsid w:val="00767983"/>
    <w:rsid w:val="00767AA4"/>
    <w:rsid w:val="00767E42"/>
    <w:rsid w:val="0077021B"/>
    <w:rsid w:val="00771534"/>
    <w:rsid w:val="007734B6"/>
    <w:rsid w:val="00773E22"/>
    <w:rsid w:val="007743AD"/>
    <w:rsid w:val="007751CA"/>
    <w:rsid w:val="00780048"/>
    <w:rsid w:val="00780854"/>
    <w:rsid w:val="007811E2"/>
    <w:rsid w:val="00782B31"/>
    <w:rsid w:val="007853CD"/>
    <w:rsid w:val="007857A8"/>
    <w:rsid w:val="00785D26"/>
    <w:rsid w:val="00785FF9"/>
    <w:rsid w:val="0078622E"/>
    <w:rsid w:val="00787354"/>
    <w:rsid w:val="0079175C"/>
    <w:rsid w:val="007938EC"/>
    <w:rsid w:val="007947FA"/>
    <w:rsid w:val="00794B28"/>
    <w:rsid w:val="007A061E"/>
    <w:rsid w:val="007A2D6C"/>
    <w:rsid w:val="007A3BC3"/>
    <w:rsid w:val="007A3EB5"/>
    <w:rsid w:val="007A4BAF"/>
    <w:rsid w:val="007A57B6"/>
    <w:rsid w:val="007A7C43"/>
    <w:rsid w:val="007B2F93"/>
    <w:rsid w:val="007B337C"/>
    <w:rsid w:val="007B35D6"/>
    <w:rsid w:val="007B571D"/>
    <w:rsid w:val="007B677D"/>
    <w:rsid w:val="007B6863"/>
    <w:rsid w:val="007C0D4F"/>
    <w:rsid w:val="007C26EB"/>
    <w:rsid w:val="007C277B"/>
    <w:rsid w:val="007C32B8"/>
    <w:rsid w:val="007C507F"/>
    <w:rsid w:val="007C50AF"/>
    <w:rsid w:val="007C53E3"/>
    <w:rsid w:val="007C66A7"/>
    <w:rsid w:val="007C6DCD"/>
    <w:rsid w:val="007C7106"/>
    <w:rsid w:val="007C79F5"/>
    <w:rsid w:val="007D1B8C"/>
    <w:rsid w:val="007D2E73"/>
    <w:rsid w:val="007D33DC"/>
    <w:rsid w:val="007D4208"/>
    <w:rsid w:val="007D5040"/>
    <w:rsid w:val="007D55F8"/>
    <w:rsid w:val="007D5A41"/>
    <w:rsid w:val="007D6269"/>
    <w:rsid w:val="007D664A"/>
    <w:rsid w:val="007D71B8"/>
    <w:rsid w:val="007D7E63"/>
    <w:rsid w:val="007E02CB"/>
    <w:rsid w:val="007E0BFC"/>
    <w:rsid w:val="007E21D7"/>
    <w:rsid w:val="007E246D"/>
    <w:rsid w:val="007E37D0"/>
    <w:rsid w:val="007E65CB"/>
    <w:rsid w:val="007E7E92"/>
    <w:rsid w:val="007F0E02"/>
    <w:rsid w:val="007F1DBD"/>
    <w:rsid w:val="007F24BD"/>
    <w:rsid w:val="007F2B4B"/>
    <w:rsid w:val="007F2FB9"/>
    <w:rsid w:val="007F4308"/>
    <w:rsid w:val="007F4935"/>
    <w:rsid w:val="007F7077"/>
    <w:rsid w:val="007F7669"/>
    <w:rsid w:val="007F7B02"/>
    <w:rsid w:val="007F7DC3"/>
    <w:rsid w:val="007F7F77"/>
    <w:rsid w:val="008026BF"/>
    <w:rsid w:val="00802E3E"/>
    <w:rsid w:val="0080323D"/>
    <w:rsid w:val="008067D0"/>
    <w:rsid w:val="00810370"/>
    <w:rsid w:val="00810954"/>
    <w:rsid w:val="00810C1D"/>
    <w:rsid w:val="00811DF7"/>
    <w:rsid w:val="00812133"/>
    <w:rsid w:val="008131C0"/>
    <w:rsid w:val="0081493A"/>
    <w:rsid w:val="00814F65"/>
    <w:rsid w:val="00815E94"/>
    <w:rsid w:val="008162A0"/>
    <w:rsid w:val="0081769E"/>
    <w:rsid w:val="008223F7"/>
    <w:rsid w:val="00822A31"/>
    <w:rsid w:val="00822C86"/>
    <w:rsid w:val="00823398"/>
    <w:rsid w:val="0082394F"/>
    <w:rsid w:val="0082548D"/>
    <w:rsid w:val="00825A13"/>
    <w:rsid w:val="00826531"/>
    <w:rsid w:val="008265F0"/>
    <w:rsid w:val="00826F3F"/>
    <w:rsid w:val="008272C7"/>
    <w:rsid w:val="00830B01"/>
    <w:rsid w:val="008315C9"/>
    <w:rsid w:val="00831B24"/>
    <w:rsid w:val="0083337E"/>
    <w:rsid w:val="008344F1"/>
    <w:rsid w:val="00835E49"/>
    <w:rsid w:val="008361AD"/>
    <w:rsid w:val="00837C87"/>
    <w:rsid w:val="0084069E"/>
    <w:rsid w:val="00840CB5"/>
    <w:rsid w:val="00841DE8"/>
    <w:rsid w:val="00843997"/>
    <w:rsid w:val="008440DB"/>
    <w:rsid w:val="00844E6E"/>
    <w:rsid w:val="008467C3"/>
    <w:rsid w:val="00850FF4"/>
    <w:rsid w:val="00851ABA"/>
    <w:rsid w:val="008531A7"/>
    <w:rsid w:val="00853E0F"/>
    <w:rsid w:val="00855C9C"/>
    <w:rsid w:val="00856F02"/>
    <w:rsid w:val="00860497"/>
    <w:rsid w:val="00860B23"/>
    <w:rsid w:val="0086338D"/>
    <w:rsid w:val="00872529"/>
    <w:rsid w:val="008738A6"/>
    <w:rsid w:val="00874D5E"/>
    <w:rsid w:val="00875106"/>
    <w:rsid w:val="00875199"/>
    <w:rsid w:val="00876CB5"/>
    <w:rsid w:val="008770B7"/>
    <w:rsid w:val="00880EBA"/>
    <w:rsid w:val="0088111E"/>
    <w:rsid w:val="00882997"/>
    <w:rsid w:val="00883565"/>
    <w:rsid w:val="00883984"/>
    <w:rsid w:val="00883A8B"/>
    <w:rsid w:val="008854AA"/>
    <w:rsid w:val="008857B2"/>
    <w:rsid w:val="008858BB"/>
    <w:rsid w:val="0089094D"/>
    <w:rsid w:val="00891369"/>
    <w:rsid w:val="00891909"/>
    <w:rsid w:val="008926E1"/>
    <w:rsid w:val="00892869"/>
    <w:rsid w:val="00893490"/>
    <w:rsid w:val="00893B84"/>
    <w:rsid w:val="0089490A"/>
    <w:rsid w:val="008974D4"/>
    <w:rsid w:val="008A0951"/>
    <w:rsid w:val="008A231D"/>
    <w:rsid w:val="008A2C50"/>
    <w:rsid w:val="008A2F56"/>
    <w:rsid w:val="008A4092"/>
    <w:rsid w:val="008A47C9"/>
    <w:rsid w:val="008A6B8A"/>
    <w:rsid w:val="008A7A0D"/>
    <w:rsid w:val="008B1707"/>
    <w:rsid w:val="008B298C"/>
    <w:rsid w:val="008B2D09"/>
    <w:rsid w:val="008B3306"/>
    <w:rsid w:val="008B4168"/>
    <w:rsid w:val="008B41CF"/>
    <w:rsid w:val="008B5369"/>
    <w:rsid w:val="008B5B93"/>
    <w:rsid w:val="008B61E6"/>
    <w:rsid w:val="008B7103"/>
    <w:rsid w:val="008B7DF7"/>
    <w:rsid w:val="008C387C"/>
    <w:rsid w:val="008C481C"/>
    <w:rsid w:val="008C495A"/>
    <w:rsid w:val="008C5381"/>
    <w:rsid w:val="008C5A17"/>
    <w:rsid w:val="008C6908"/>
    <w:rsid w:val="008D0690"/>
    <w:rsid w:val="008D5265"/>
    <w:rsid w:val="008D58B1"/>
    <w:rsid w:val="008D60BE"/>
    <w:rsid w:val="008D61AB"/>
    <w:rsid w:val="008D6A52"/>
    <w:rsid w:val="008E1C57"/>
    <w:rsid w:val="008E2579"/>
    <w:rsid w:val="008E30FC"/>
    <w:rsid w:val="008E50ED"/>
    <w:rsid w:val="008E51E8"/>
    <w:rsid w:val="008E6892"/>
    <w:rsid w:val="008E74DD"/>
    <w:rsid w:val="008E75E9"/>
    <w:rsid w:val="008F0691"/>
    <w:rsid w:val="008F1031"/>
    <w:rsid w:val="008F1122"/>
    <w:rsid w:val="008F118B"/>
    <w:rsid w:val="008F2B04"/>
    <w:rsid w:val="008F2E56"/>
    <w:rsid w:val="008F3EC7"/>
    <w:rsid w:val="008F4247"/>
    <w:rsid w:val="008F5B3F"/>
    <w:rsid w:val="008F73F4"/>
    <w:rsid w:val="0090076C"/>
    <w:rsid w:val="00902994"/>
    <w:rsid w:val="009038E0"/>
    <w:rsid w:val="00903CB5"/>
    <w:rsid w:val="00906F21"/>
    <w:rsid w:val="00907690"/>
    <w:rsid w:val="009112D7"/>
    <w:rsid w:val="0091520F"/>
    <w:rsid w:val="00915E96"/>
    <w:rsid w:val="00916B75"/>
    <w:rsid w:val="009175C4"/>
    <w:rsid w:val="0092066D"/>
    <w:rsid w:val="00920C62"/>
    <w:rsid w:val="00920EA2"/>
    <w:rsid w:val="00921AD7"/>
    <w:rsid w:val="00923094"/>
    <w:rsid w:val="0092766C"/>
    <w:rsid w:val="00927864"/>
    <w:rsid w:val="009302BB"/>
    <w:rsid w:val="00930EFC"/>
    <w:rsid w:val="00931A1D"/>
    <w:rsid w:val="00931CA8"/>
    <w:rsid w:val="00933E0D"/>
    <w:rsid w:val="00935643"/>
    <w:rsid w:val="009366BB"/>
    <w:rsid w:val="00936D7F"/>
    <w:rsid w:val="00937D63"/>
    <w:rsid w:val="00944370"/>
    <w:rsid w:val="009443E1"/>
    <w:rsid w:val="00944CA1"/>
    <w:rsid w:val="009464DA"/>
    <w:rsid w:val="009467A8"/>
    <w:rsid w:val="00946BC6"/>
    <w:rsid w:val="00950B4F"/>
    <w:rsid w:val="0095155E"/>
    <w:rsid w:val="009515BE"/>
    <w:rsid w:val="00951B71"/>
    <w:rsid w:val="00951BAA"/>
    <w:rsid w:val="00953A89"/>
    <w:rsid w:val="00954B81"/>
    <w:rsid w:val="009556B6"/>
    <w:rsid w:val="0095612C"/>
    <w:rsid w:val="009565B8"/>
    <w:rsid w:val="00960D1A"/>
    <w:rsid w:val="00963DEC"/>
    <w:rsid w:val="00963DF4"/>
    <w:rsid w:val="00964122"/>
    <w:rsid w:val="00966189"/>
    <w:rsid w:val="00975702"/>
    <w:rsid w:val="00975B73"/>
    <w:rsid w:val="0097615E"/>
    <w:rsid w:val="00977ED3"/>
    <w:rsid w:val="009814D5"/>
    <w:rsid w:val="009819FC"/>
    <w:rsid w:val="009833E6"/>
    <w:rsid w:val="00983D1C"/>
    <w:rsid w:val="00984AE1"/>
    <w:rsid w:val="00986ADF"/>
    <w:rsid w:val="00987A3B"/>
    <w:rsid w:val="00987C35"/>
    <w:rsid w:val="00991000"/>
    <w:rsid w:val="00991FB6"/>
    <w:rsid w:val="00995D0F"/>
    <w:rsid w:val="009979D4"/>
    <w:rsid w:val="00997F58"/>
    <w:rsid w:val="009A2773"/>
    <w:rsid w:val="009A3549"/>
    <w:rsid w:val="009A3ED9"/>
    <w:rsid w:val="009A44F1"/>
    <w:rsid w:val="009A4983"/>
    <w:rsid w:val="009A513A"/>
    <w:rsid w:val="009B2292"/>
    <w:rsid w:val="009B317C"/>
    <w:rsid w:val="009B3ED7"/>
    <w:rsid w:val="009B4AE6"/>
    <w:rsid w:val="009B51C6"/>
    <w:rsid w:val="009B52BE"/>
    <w:rsid w:val="009B5477"/>
    <w:rsid w:val="009B587E"/>
    <w:rsid w:val="009B75EE"/>
    <w:rsid w:val="009C0C30"/>
    <w:rsid w:val="009C275F"/>
    <w:rsid w:val="009C41A4"/>
    <w:rsid w:val="009C4674"/>
    <w:rsid w:val="009C5E3E"/>
    <w:rsid w:val="009C5F4E"/>
    <w:rsid w:val="009C69FD"/>
    <w:rsid w:val="009C7EA4"/>
    <w:rsid w:val="009D063F"/>
    <w:rsid w:val="009D09AF"/>
    <w:rsid w:val="009D69CB"/>
    <w:rsid w:val="009D6C98"/>
    <w:rsid w:val="009D77FF"/>
    <w:rsid w:val="009E017F"/>
    <w:rsid w:val="009E0188"/>
    <w:rsid w:val="009E134D"/>
    <w:rsid w:val="009E1FDF"/>
    <w:rsid w:val="009E2817"/>
    <w:rsid w:val="009E3B55"/>
    <w:rsid w:val="009E5650"/>
    <w:rsid w:val="009E68D8"/>
    <w:rsid w:val="009E72AC"/>
    <w:rsid w:val="009F0D1B"/>
    <w:rsid w:val="009F1386"/>
    <w:rsid w:val="009F4EA4"/>
    <w:rsid w:val="009F6059"/>
    <w:rsid w:val="009F7671"/>
    <w:rsid w:val="00A01ABF"/>
    <w:rsid w:val="00A03543"/>
    <w:rsid w:val="00A048D1"/>
    <w:rsid w:val="00A06042"/>
    <w:rsid w:val="00A06A24"/>
    <w:rsid w:val="00A06C84"/>
    <w:rsid w:val="00A06D0D"/>
    <w:rsid w:val="00A1002A"/>
    <w:rsid w:val="00A10716"/>
    <w:rsid w:val="00A10C54"/>
    <w:rsid w:val="00A10E5D"/>
    <w:rsid w:val="00A12020"/>
    <w:rsid w:val="00A141C8"/>
    <w:rsid w:val="00A150DD"/>
    <w:rsid w:val="00A15895"/>
    <w:rsid w:val="00A160C8"/>
    <w:rsid w:val="00A17908"/>
    <w:rsid w:val="00A20972"/>
    <w:rsid w:val="00A20E40"/>
    <w:rsid w:val="00A2196A"/>
    <w:rsid w:val="00A236CA"/>
    <w:rsid w:val="00A23FBA"/>
    <w:rsid w:val="00A25D08"/>
    <w:rsid w:val="00A26C02"/>
    <w:rsid w:val="00A26DB3"/>
    <w:rsid w:val="00A275C9"/>
    <w:rsid w:val="00A33E3B"/>
    <w:rsid w:val="00A36FCB"/>
    <w:rsid w:val="00A40807"/>
    <w:rsid w:val="00A4081D"/>
    <w:rsid w:val="00A40B2E"/>
    <w:rsid w:val="00A40FDA"/>
    <w:rsid w:val="00A420BE"/>
    <w:rsid w:val="00A42B2D"/>
    <w:rsid w:val="00A43560"/>
    <w:rsid w:val="00A43577"/>
    <w:rsid w:val="00A43EEE"/>
    <w:rsid w:val="00A47AAC"/>
    <w:rsid w:val="00A501F4"/>
    <w:rsid w:val="00A51339"/>
    <w:rsid w:val="00A54F64"/>
    <w:rsid w:val="00A561BE"/>
    <w:rsid w:val="00A56EFD"/>
    <w:rsid w:val="00A579FF"/>
    <w:rsid w:val="00A57E37"/>
    <w:rsid w:val="00A6114C"/>
    <w:rsid w:val="00A63FE2"/>
    <w:rsid w:val="00A65585"/>
    <w:rsid w:val="00A655D8"/>
    <w:rsid w:val="00A6665D"/>
    <w:rsid w:val="00A66EBE"/>
    <w:rsid w:val="00A70967"/>
    <w:rsid w:val="00A72A97"/>
    <w:rsid w:val="00A734E0"/>
    <w:rsid w:val="00A73F23"/>
    <w:rsid w:val="00A767E0"/>
    <w:rsid w:val="00A80382"/>
    <w:rsid w:val="00A817B7"/>
    <w:rsid w:val="00A81D7B"/>
    <w:rsid w:val="00A82DB8"/>
    <w:rsid w:val="00A85921"/>
    <w:rsid w:val="00A864F9"/>
    <w:rsid w:val="00A87B81"/>
    <w:rsid w:val="00A90754"/>
    <w:rsid w:val="00A909F5"/>
    <w:rsid w:val="00A91462"/>
    <w:rsid w:val="00A91BFD"/>
    <w:rsid w:val="00A948D4"/>
    <w:rsid w:val="00AA02E6"/>
    <w:rsid w:val="00AA05EA"/>
    <w:rsid w:val="00AA1F5B"/>
    <w:rsid w:val="00AA502E"/>
    <w:rsid w:val="00AA53EE"/>
    <w:rsid w:val="00AA710F"/>
    <w:rsid w:val="00AA7311"/>
    <w:rsid w:val="00AA75C8"/>
    <w:rsid w:val="00AA78B8"/>
    <w:rsid w:val="00AB08DD"/>
    <w:rsid w:val="00AB12ED"/>
    <w:rsid w:val="00AB166A"/>
    <w:rsid w:val="00AB1A3C"/>
    <w:rsid w:val="00AB5106"/>
    <w:rsid w:val="00AB55F8"/>
    <w:rsid w:val="00AB7DFF"/>
    <w:rsid w:val="00AC0156"/>
    <w:rsid w:val="00AC3195"/>
    <w:rsid w:val="00AC4D28"/>
    <w:rsid w:val="00AC7375"/>
    <w:rsid w:val="00AC737B"/>
    <w:rsid w:val="00AC7E3D"/>
    <w:rsid w:val="00AD1326"/>
    <w:rsid w:val="00AD1717"/>
    <w:rsid w:val="00AD1C1A"/>
    <w:rsid w:val="00AD4099"/>
    <w:rsid w:val="00AD6050"/>
    <w:rsid w:val="00AD7263"/>
    <w:rsid w:val="00AD7553"/>
    <w:rsid w:val="00AE0473"/>
    <w:rsid w:val="00AE08DD"/>
    <w:rsid w:val="00AE40C9"/>
    <w:rsid w:val="00AE5CCD"/>
    <w:rsid w:val="00AE6E77"/>
    <w:rsid w:val="00AF1A88"/>
    <w:rsid w:val="00AF20DF"/>
    <w:rsid w:val="00AF2B09"/>
    <w:rsid w:val="00AF42C1"/>
    <w:rsid w:val="00AF52A2"/>
    <w:rsid w:val="00AF52EC"/>
    <w:rsid w:val="00AF79A9"/>
    <w:rsid w:val="00B00ACD"/>
    <w:rsid w:val="00B01F75"/>
    <w:rsid w:val="00B05056"/>
    <w:rsid w:val="00B0594D"/>
    <w:rsid w:val="00B0664D"/>
    <w:rsid w:val="00B10341"/>
    <w:rsid w:val="00B11961"/>
    <w:rsid w:val="00B12512"/>
    <w:rsid w:val="00B13F46"/>
    <w:rsid w:val="00B144D7"/>
    <w:rsid w:val="00B14651"/>
    <w:rsid w:val="00B15BEC"/>
    <w:rsid w:val="00B16456"/>
    <w:rsid w:val="00B16E04"/>
    <w:rsid w:val="00B20627"/>
    <w:rsid w:val="00B2197E"/>
    <w:rsid w:val="00B21E19"/>
    <w:rsid w:val="00B2229D"/>
    <w:rsid w:val="00B22D57"/>
    <w:rsid w:val="00B22F25"/>
    <w:rsid w:val="00B23942"/>
    <w:rsid w:val="00B25AAA"/>
    <w:rsid w:val="00B25D4B"/>
    <w:rsid w:val="00B2646A"/>
    <w:rsid w:val="00B3220C"/>
    <w:rsid w:val="00B3404C"/>
    <w:rsid w:val="00B359E3"/>
    <w:rsid w:val="00B35F76"/>
    <w:rsid w:val="00B3623C"/>
    <w:rsid w:val="00B37421"/>
    <w:rsid w:val="00B3768E"/>
    <w:rsid w:val="00B37EA5"/>
    <w:rsid w:val="00B4248A"/>
    <w:rsid w:val="00B4577A"/>
    <w:rsid w:val="00B47C12"/>
    <w:rsid w:val="00B51E18"/>
    <w:rsid w:val="00B538C2"/>
    <w:rsid w:val="00B53BFE"/>
    <w:rsid w:val="00B560C7"/>
    <w:rsid w:val="00B57328"/>
    <w:rsid w:val="00B60DB4"/>
    <w:rsid w:val="00B6106B"/>
    <w:rsid w:val="00B61548"/>
    <w:rsid w:val="00B622ED"/>
    <w:rsid w:val="00B63ADD"/>
    <w:rsid w:val="00B648D8"/>
    <w:rsid w:val="00B64A56"/>
    <w:rsid w:val="00B65D09"/>
    <w:rsid w:val="00B662F0"/>
    <w:rsid w:val="00B6675E"/>
    <w:rsid w:val="00B67DE2"/>
    <w:rsid w:val="00B7125D"/>
    <w:rsid w:val="00B71D37"/>
    <w:rsid w:val="00B73F19"/>
    <w:rsid w:val="00B74D6F"/>
    <w:rsid w:val="00B76003"/>
    <w:rsid w:val="00B76D34"/>
    <w:rsid w:val="00B77FE9"/>
    <w:rsid w:val="00B809BD"/>
    <w:rsid w:val="00B819B5"/>
    <w:rsid w:val="00B81A18"/>
    <w:rsid w:val="00B82590"/>
    <w:rsid w:val="00B825DE"/>
    <w:rsid w:val="00B83887"/>
    <w:rsid w:val="00B85343"/>
    <w:rsid w:val="00B865EA"/>
    <w:rsid w:val="00B86D85"/>
    <w:rsid w:val="00B9079E"/>
    <w:rsid w:val="00B94195"/>
    <w:rsid w:val="00B942EA"/>
    <w:rsid w:val="00B9671C"/>
    <w:rsid w:val="00B97489"/>
    <w:rsid w:val="00B9757C"/>
    <w:rsid w:val="00BA0E06"/>
    <w:rsid w:val="00BA16DC"/>
    <w:rsid w:val="00BA1E03"/>
    <w:rsid w:val="00BA2904"/>
    <w:rsid w:val="00BA37B9"/>
    <w:rsid w:val="00BA3A61"/>
    <w:rsid w:val="00BA4E82"/>
    <w:rsid w:val="00BA595A"/>
    <w:rsid w:val="00BA5F08"/>
    <w:rsid w:val="00BA71F3"/>
    <w:rsid w:val="00BA7C49"/>
    <w:rsid w:val="00BB1F6B"/>
    <w:rsid w:val="00BB3B7B"/>
    <w:rsid w:val="00BB4130"/>
    <w:rsid w:val="00BB43DD"/>
    <w:rsid w:val="00BC2A06"/>
    <w:rsid w:val="00BC3B2E"/>
    <w:rsid w:val="00BC3C7B"/>
    <w:rsid w:val="00BC6486"/>
    <w:rsid w:val="00BC74AB"/>
    <w:rsid w:val="00BD0328"/>
    <w:rsid w:val="00BD0353"/>
    <w:rsid w:val="00BD2453"/>
    <w:rsid w:val="00BD24CB"/>
    <w:rsid w:val="00BD5489"/>
    <w:rsid w:val="00BD6260"/>
    <w:rsid w:val="00BE0672"/>
    <w:rsid w:val="00BE0FA6"/>
    <w:rsid w:val="00BE187C"/>
    <w:rsid w:val="00BE252B"/>
    <w:rsid w:val="00BE2801"/>
    <w:rsid w:val="00BE4379"/>
    <w:rsid w:val="00BE6AEF"/>
    <w:rsid w:val="00BE7F81"/>
    <w:rsid w:val="00BF05C4"/>
    <w:rsid w:val="00BF16CA"/>
    <w:rsid w:val="00BF22E5"/>
    <w:rsid w:val="00BF3BB5"/>
    <w:rsid w:val="00BF4ADF"/>
    <w:rsid w:val="00BF5A0F"/>
    <w:rsid w:val="00BF66B0"/>
    <w:rsid w:val="00C003B5"/>
    <w:rsid w:val="00C019D0"/>
    <w:rsid w:val="00C0294D"/>
    <w:rsid w:val="00C02A3D"/>
    <w:rsid w:val="00C02FD9"/>
    <w:rsid w:val="00C03611"/>
    <w:rsid w:val="00C03E66"/>
    <w:rsid w:val="00C071AA"/>
    <w:rsid w:val="00C108C3"/>
    <w:rsid w:val="00C112D4"/>
    <w:rsid w:val="00C12CFC"/>
    <w:rsid w:val="00C17339"/>
    <w:rsid w:val="00C1769A"/>
    <w:rsid w:val="00C20234"/>
    <w:rsid w:val="00C21ECD"/>
    <w:rsid w:val="00C245FF"/>
    <w:rsid w:val="00C255B4"/>
    <w:rsid w:val="00C257F9"/>
    <w:rsid w:val="00C25914"/>
    <w:rsid w:val="00C3177B"/>
    <w:rsid w:val="00C3188F"/>
    <w:rsid w:val="00C32943"/>
    <w:rsid w:val="00C3366C"/>
    <w:rsid w:val="00C33F72"/>
    <w:rsid w:val="00C3488B"/>
    <w:rsid w:val="00C355EB"/>
    <w:rsid w:val="00C3616D"/>
    <w:rsid w:val="00C402C2"/>
    <w:rsid w:val="00C41463"/>
    <w:rsid w:val="00C42273"/>
    <w:rsid w:val="00C43AF3"/>
    <w:rsid w:val="00C44074"/>
    <w:rsid w:val="00C45077"/>
    <w:rsid w:val="00C4555B"/>
    <w:rsid w:val="00C459C0"/>
    <w:rsid w:val="00C461F3"/>
    <w:rsid w:val="00C462A2"/>
    <w:rsid w:val="00C46665"/>
    <w:rsid w:val="00C46A1A"/>
    <w:rsid w:val="00C473A4"/>
    <w:rsid w:val="00C47B41"/>
    <w:rsid w:val="00C50A9A"/>
    <w:rsid w:val="00C50D60"/>
    <w:rsid w:val="00C51433"/>
    <w:rsid w:val="00C520FB"/>
    <w:rsid w:val="00C534FC"/>
    <w:rsid w:val="00C538FF"/>
    <w:rsid w:val="00C541ED"/>
    <w:rsid w:val="00C6255A"/>
    <w:rsid w:val="00C637C0"/>
    <w:rsid w:val="00C649CA"/>
    <w:rsid w:val="00C649E8"/>
    <w:rsid w:val="00C6568C"/>
    <w:rsid w:val="00C65C97"/>
    <w:rsid w:val="00C664E5"/>
    <w:rsid w:val="00C667EF"/>
    <w:rsid w:val="00C668CB"/>
    <w:rsid w:val="00C673BC"/>
    <w:rsid w:val="00C67820"/>
    <w:rsid w:val="00C67F4F"/>
    <w:rsid w:val="00C7084F"/>
    <w:rsid w:val="00C72611"/>
    <w:rsid w:val="00C76AEC"/>
    <w:rsid w:val="00C76F6E"/>
    <w:rsid w:val="00C775E9"/>
    <w:rsid w:val="00C77673"/>
    <w:rsid w:val="00C80138"/>
    <w:rsid w:val="00C82677"/>
    <w:rsid w:val="00C83629"/>
    <w:rsid w:val="00C83D6D"/>
    <w:rsid w:val="00C856F6"/>
    <w:rsid w:val="00C873BC"/>
    <w:rsid w:val="00C87DC4"/>
    <w:rsid w:val="00C9235B"/>
    <w:rsid w:val="00C92425"/>
    <w:rsid w:val="00C9258E"/>
    <w:rsid w:val="00C93595"/>
    <w:rsid w:val="00C94840"/>
    <w:rsid w:val="00C94D6B"/>
    <w:rsid w:val="00C95096"/>
    <w:rsid w:val="00C959AA"/>
    <w:rsid w:val="00C95E51"/>
    <w:rsid w:val="00C97F4B"/>
    <w:rsid w:val="00CA01A8"/>
    <w:rsid w:val="00CA0405"/>
    <w:rsid w:val="00CA0644"/>
    <w:rsid w:val="00CA48C5"/>
    <w:rsid w:val="00CA6AA6"/>
    <w:rsid w:val="00CA7727"/>
    <w:rsid w:val="00CB2456"/>
    <w:rsid w:val="00CB2B71"/>
    <w:rsid w:val="00CB4698"/>
    <w:rsid w:val="00CB5214"/>
    <w:rsid w:val="00CB6AFC"/>
    <w:rsid w:val="00CC0485"/>
    <w:rsid w:val="00CC1217"/>
    <w:rsid w:val="00CC1551"/>
    <w:rsid w:val="00CC1A14"/>
    <w:rsid w:val="00CC1FE3"/>
    <w:rsid w:val="00CC2B01"/>
    <w:rsid w:val="00CC2C38"/>
    <w:rsid w:val="00CC2C87"/>
    <w:rsid w:val="00CC3D1B"/>
    <w:rsid w:val="00CC4241"/>
    <w:rsid w:val="00CC54C5"/>
    <w:rsid w:val="00CC5FEF"/>
    <w:rsid w:val="00CC6087"/>
    <w:rsid w:val="00CC6E55"/>
    <w:rsid w:val="00CD00E6"/>
    <w:rsid w:val="00CD3260"/>
    <w:rsid w:val="00CD4934"/>
    <w:rsid w:val="00CD5B6B"/>
    <w:rsid w:val="00CD5B9E"/>
    <w:rsid w:val="00CD61F0"/>
    <w:rsid w:val="00CD6B85"/>
    <w:rsid w:val="00CE0E22"/>
    <w:rsid w:val="00CE2353"/>
    <w:rsid w:val="00CE2784"/>
    <w:rsid w:val="00CE42C0"/>
    <w:rsid w:val="00CE49CE"/>
    <w:rsid w:val="00CE4F85"/>
    <w:rsid w:val="00CE5A0A"/>
    <w:rsid w:val="00CE67C0"/>
    <w:rsid w:val="00CF1331"/>
    <w:rsid w:val="00CF1AA8"/>
    <w:rsid w:val="00CF22E6"/>
    <w:rsid w:val="00CF5266"/>
    <w:rsid w:val="00D01068"/>
    <w:rsid w:val="00D02877"/>
    <w:rsid w:val="00D03414"/>
    <w:rsid w:val="00D03A7D"/>
    <w:rsid w:val="00D044A7"/>
    <w:rsid w:val="00D0631F"/>
    <w:rsid w:val="00D11A6C"/>
    <w:rsid w:val="00D11CA4"/>
    <w:rsid w:val="00D13FD4"/>
    <w:rsid w:val="00D150AD"/>
    <w:rsid w:val="00D1528A"/>
    <w:rsid w:val="00D159C8"/>
    <w:rsid w:val="00D17A74"/>
    <w:rsid w:val="00D205E4"/>
    <w:rsid w:val="00D208E8"/>
    <w:rsid w:val="00D20C19"/>
    <w:rsid w:val="00D21415"/>
    <w:rsid w:val="00D233C1"/>
    <w:rsid w:val="00D24AD8"/>
    <w:rsid w:val="00D26C79"/>
    <w:rsid w:val="00D277FB"/>
    <w:rsid w:val="00D27AC6"/>
    <w:rsid w:val="00D3001E"/>
    <w:rsid w:val="00D3145F"/>
    <w:rsid w:val="00D31D44"/>
    <w:rsid w:val="00D326E7"/>
    <w:rsid w:val="00D3321A"/>
    <w:rsid w:val="00D33D00"/>
    <w:rsid w:val="00D34829"/>
    <w:rsid w:val="00D3546B"/>
    <w:rsid w:val="00D35D17"/>
    <w:rsid w:val="00D36408"/>
    <w:rsid w:val="00D36C00"/>
    <w:rsid w:val="00D37D12"/>
    <w:rsid w:val="00D43DA7"/>
    <w:rsid w:val="00D43EB9"/>
    <w:rsid w:val="00D45E76"/>
    <w:rsid w:val="00D4676E"/>
    <w:rsid w:val="00D5018E"/>
    <w:rsid w:val="00D505FD"/>
    <w:rsid w:val="00D50E7D"/>
    <w:rsid w:val="00D515E0"/>
    <w:rsid w:val="00D517A2"/>
    <w:rsid w:val="00D526ED"/>
    <w:rsid w:val="00D5274F"/>
    <w:rsid w:val="00D5312A"/>
    <w:rsid w:val="00D53170"/>
    <w:rsid w:val="00D53610"/>
    <w:rsid w:val="00D57961"/>
    <w:rsid w:val="00D60F33"/>
    <w:rsid w:val="00D615FC"/>
    <w:rsid w:val="00D61E05"/>
    <w:rsid w:val="00D621D0"/>
    <w:rsid w:val="00D67BC5"/>
    <w:rsid w:val="00D67D84"/>
    <w:rsid w:val="00D7012C"/>
    <w:rsid w:val="00D73277"/>
    <w:rsid w:val="00D74066"/>
    <w:rsid w:val="00D74BDA"/>
    <w:rsid w:val="00D7561C"/>
    <w:rsid w:val="00D762EB"/>
    <w:rsid w:val="00D80EBA"/>
    <w:rsid w:val="00D84ABE"/>
    <w:rsid w:val="00D84CE4"/>
    <w:rsid w:val="00D85EA6"/>
    <w:rsid w:val="00D874F1"/>
    <w:rsid w:val="00D900F0"/>
    <w:rsid w:val="00D90603"/>
    <w:rsid w:val="00D9094B"/>
    <w:rsid w:val="00D91C44"/>
    <w:rsid w:val="00D93213"/>
    <w:rsid w:val="00D95EDD"/>
    <w:rsid w:val="00D9744E"/>
    <w:rsid w:val="00DA0017"/>
    <w:rsid w:val="00DA099E"/>
    <w:rsid w:val="00DA1C51"/>
    <w:rsid w:val="00DA29DD"/>
    <w:rsid w:val="00DA382F"/>
    <w:rsid w:val="00DA48B0"/>
    <w:rsid w:val="00DA5AB4"/>
    <w:rsid w:val="00DA66C2"/>
    <w:rsid w:val="00DA6B37"/>
    <w:rsid w:val="00DA6BD7"/>
    <w:rsid w:val="00DA72AF"/>
    <w:rsid w:val="00DB0E3C"/>
    <w:rsid w:val="00DB13F7"/>
    <w:rsid w:val="00DB2AA7"/>
    <w:rsid w:val="00DB469A"/>
    <w:rsid w:val="00DB4B4B"/>
    <w:rsid w:val="00DB507A"/>
    <w:rsid w:val="00DB5D3F"/>
    <w:rsid w:val="00DB5F83"/>
    <w:rsid w:val="00DC043D"/>
    <w:rsid w:val="00DC0A8F"/>
    <w:rsid w:val="00DC0E90"/>
    <w:rsid w:val="00DC3014"/>
    <w:rsid w:val="00DC39C3"/>
    <w:rsid w:val="00DC4680"/>
    <w:rsid w:val="00DC572D"/>
    <w:rsid w:val="00DC5894"/>
    <w:rsid w:val="00DC6CF3"/>
    <w:rsid w:val="00DC6DC6"/>
    <w:rsid w:val="00DC7F78"/>
    <w:rsid w:val="00DD2CC1"/>
    <w:rsid w:val="00DD2F34"/>
    <w:rsid w:val="00DD6029"/>
    <w:rsid w:val="00DD64A3"/>
    <w:rsid w:val="00DD70B5"/>
    <w:rsid w:val="00DE2370"/>
    <w:rsid w:val="00DE5612"/>
    <w:rsid w:val="00DE58F0"/>
    <w:rsid w:val="00DE6ED9"/>
    <w:rsid w:val="00DE701C"/>
    <w:rsid w:val="00DE7887"/>
    <w:rsid w:val="00DE7C85"/>
    <w:rsid w:val="00DF0BCB"/>
    <w:rsid w:val="00DF10F1"/>
    <w:rsid w:val="00DF3570"/>
    <w:rsid w:val="00DF5A53"/>
    <w:rsid w:val="00DF63C3"/>
    <w:rsid w:val="00E00622"/>
    <w:rsid w:val="00E00B46"/>
    <w:rsid w:val="00E016BE"/>
    <w:rsid w:val="00E01B90"/>
    <w:rsid w:val="00E01DA9"/>
    <w:rsid w:val="00E02F2E"/>
    <w:rsid w:val="00E038E9"/>
    <w:rsid w:val="00E03AB9"/>
    <w:rsid w:val="00E05F9F"/>
    <w:rsid w:val="00E11F01"/>
    <w:rsid w:val="00E12519"/>
    <w:rsid w:val="00E13DE8"/>
    <w:rsid w:val="00E156E2"/>
    <w:rsid w:val="00E161CB"/>
    <w:rsid w:val="00E16C2D"/>
    <w:rsid w:val="00E20CE6"/>
    <w:rsid w:val="00E24195"/>
    <w:rsid w:val="00E24F44"/>
    <w:rsid w:val="00E25341"/>
    <w:rsid w:val="00E26362"/>
    <w:rsid w:val="00E27BEA"/>
    <w:rsid w:val="00E334AD"/>
    <w:rsid w:val="00E33E27"/>
    <w:rsid w:val="00E3676A"/>
    <w:rsid w:val="00E3714F"/>
    <w:rsid w:val="00E4062E"/>
    <w:rsid w:val="00E418F2"/>
    <w:rsid w:val="00E435E2"/>
    <w:rsid w:val="00E43B40"/>
    <w:rsid w:val="00E44B57"/>
    <w:rsid w:val="00E45369"/>
    <w:rsid w:val="00E457A9"/>
    <w:rsid w:val="00E46A2E"/>
    <w:rsid w:val="00E46A92"/>
    <w:rsid w:val="00E50FC6"/>
    <w:rsid w:val="00E530A4"/>
    <w:rsid w:val="00E542F6"/>
    <w:rsid w:val="00E579C6"/>
    <w:rsid w:val="00E63BD5"/>
    <w:rsid w:val="00E6518D"/>
    <w:rsid w:val="00E65536"/>
    <w:rsid w:val="00E66046"/>
    <w:rsid w:val="00E66A37"/>
    <w:rsid w:val="00E66F0E"/>
    <w:rsid w:val="00E67CCA"/>
    <w:rsid w:val="00E70FFF"/>
    <w:rsid w:val="00E7149A"/>
    <w:rsid w:val="00E72CE8"/>
    <w:rsid w:val="00E75633"/>
    <w:rsid w:val="00E775DD"/>
    <w:rsid w:val="00E82DC3"/>
    <w:rsid w:val="00E832AC"/>
    <w:rsid w:val="00E843C0"/>
    <w:rsid w:val="00E866BB"/>
    <w:rsid w:val="00E8750F"/>
    <w:rsid w:val="00E93513"/>
    <w:rsid w:val="00E95797"/>
    <w:rsid w:val="00E976AB"/>
    <w:rsid w:val="00EA140C"/>
    <w:rsid w:val="00EA2228"/>
    <w:rsid w:val="00EA4CED"/>
    <w:rsid w:val="00EA7052"/>
    <w:rsid w:val="00EB04F5"/>
    <w:rsid w:val="00EB0A93"/>
    <w:rsid w:val="00EB0F0D"/>
    <w:rsid w:val="00EB187D"/>
    <w:rsid w:val="00EB2CEF"/>
    <w:rsid w:val="00EB4729"/>
    <w:rsid w:val="00EB4ABC"/>
    <w:rsid w:val="00EB6B4E"/>
    <w:rsid w:val="00EB7FF5"/>
    <w:rsid w:val="00EC1BDD"/>
    <w:rsid w:val="00EC2CD7"/>
    <w:rsid w:val="00EC5678"/>
    <w:rsid w:val="00EC6215"/>
    <w:rsid w:val="00EC67A8"/>
    <w:rsid w:val="00EC6A3F"/>
    <w:rsid w:val="00EC7095"/>
    <w:rsid w:val="00ED1948"/>
    <w:rsid w:val="00ED34FD"/>
    <w:rsid w:val="00ED3DF0"/>
    <w:rsid w:val="00ED42BF"/>
    <w:rsid w:val="00ED53A6"/>
    <w:rsid w:val="00ED58CC"/>
    <w:rsid w:val="00ED6C49"/>
    <w:rsid w:val="00ED72E6"/>
    <w:rsid w:val="00ED7D59"/>
    <w:rsid w:val="00EE022A"/>
    <w:rsid w:val="00EE144F"/>
    <w:rsid w:val="00EE1D44"/>
    <w:rsid w:val="00EE1DDB"/>
    <w:rsid w:val="00EE446D"/>
    <w:rsid w:val="00EE4A3B"/>
    <w:rsid w:val="00EE4B2C"/>
    <w:rsid w:val="00EE4C7A"/>
    <w:rsid w:val="00EE5B40"/>
    <w:rsid w:val="00EE5DBF"/>
    <w:rsid w:val="00EE5FE9"/>
    <w:rsid w:val="00EE69C2"/>
    <w:rsid w:val="00EE7EFA"/>
    <w:rsid w:val="00EF02CC"/>
    <w:rsid w:val="00EF1066"/>
    <w:rsid w:val="00EF17F7"/>
    <w:rsid w:val="00EF241A"/>
    <w:rsid w:val="00EF5B2F"/>
    <w:rsid w:val="00EF5B8E"/>
    <w:rsid w:val="00EF789A"/>
    <w:rsid w:val="00F00D14"/>
    <w:rsid w:val="00F014F7"/>
    <w:rsid w:val="00F02B3B"/>
    <w:rsid w:val="00F0313C"/>
    <w:rsid w:val="00F03CA3"/>
    <w:rsid w:val="00F0401F"/>
    <w:rsid w:val="00F06B2C"/>
    <w:rsid w:val="00F06D06"/>
    <w:rsid w:val="00F10519"/>
    <w:rsid w:val="00F1150D"/>
    <w:rsid w:val="00F11555"/>
    <w:rsid w:val="00F11693"/>
    <w:rsid w:val="00F11F7D"/>
    <w:rsid w:val="00F12D9E"/>
    <w:rsid w:val="00F12FAB"/>
    <w:rsid w:val="00F14210"/>
    <w:rsid w:val="00F21EE0"/>
    <w:rsid w:val="00F228D2"/>
    <w:rsid w:val="00F25635"/>
    <w:rsid w:val="00F25C68"/>
    <w:rsid w:val="00F25DA3"/>
    <w:rsid w:val="00F269B2"/>
    <w:rsid w:val="00F30E50"/>
    <w:rsid w:val="00F33A95"/>
    <w:rsid w:val="00F34B0F"/>
    <w:rsid w:val="00F36EC9"/>
    <w:rsid w:val="00F36F8B"/>
    <w:rsid w:val="00F373B7"/>
    <w:rsid w:val="00F376C1"/>
    <w:rsid w:val="00F37B33"/>
    <w:rsid w:val="00F43C90"/>
    <w:rsid w:val="00F43EC0"/>
    <w:rsid w:val="00F46010"/>
    <w:rsid w:val="00F472AE"/>
    <w:rsid w:val="00F474F7"/>
    <w:rsid w:val="00F47E00"/>
    <w:rsid w:val="00F51682"/>
    <w:rsid w:val="00F52B3F"/>
    <w:rsid w:val="00F52CD4"/>
    <w:rsid w:val="00F54978"/>
    <w:rsid w:val="00F555DA"/>
    <w:rsid w:val="00F57922"/>
    <w:rsid w:val="00F57D9C"/>
    <w:rsid w:val="00F6079F"/>
    <w:rsid w:val="00F627C2"/>
    <w:rsid w:val="00F62E85"/>
    <w:rsid w:val="00F65154"/>
    <w:rsid w:val="00F67EB8"/>
    <w:rsid w:val="00F67F09"/>
    <w:rsid w:val="00F67FB9"/>
    <w:rsid w:val="00F7167B"/>
    <w:rsid w:val="00F736B6"/>
    <w:rsid w:val="00F73895"/>
    <w:rsid w:val="00F76C59"/>
    <w:rsid w:val="00F77A74"/>
    <w:rsid w:val="00F80BC2"/>
    <w:rsid w:val="00F80F86"/>
    <w:rsid w:val="00F825A9"/>
    <w:rsid w:val="00F827F1"/>
    <w:rsid w:val="00F8379F"/>
    <w:rsid w:val="00F84877"/>
    <w:rsid w:val="00F90462"/>
    <w:rsid w:val="00F933BA"/>
    <w:rsid w:val="00F9385A"/>
    <w:rsid w:val="00F945D9"/>
    <w:rsid w:val="00F96194"/>
    <w:rsid w:val="00F96932"/>
    <w:rsid w:val="00FA01B6"/>
    <w:rsid w:val="00FA0D87"/>
    <w:rsid w:val="00FA0DD2"/>
    <w:rsid w:val="00FA20F5"/>
    <w:rsid w:val="00FA23F0"/>
    <w:rsid w:val="00FA345E"/>
    <w:rsid w:val="00FA34F9"/>
    <w:rsid w:val="00FA3A29"/>
    <w:rsid w:val="00FA4077"/>
    <w:rsid w:val="00FA479C"/>
    <w:rsid w:val="00FA5340"/>
    <w:rsid w:val="00FA62B2"/>
    <w:rsid w:val="00FA7ACB"/>
    <w:rsid w:val="00FB1D34"/>
    <w:rsid w:val="00FB2A4A"/>
    <w:rsid w:val="00FB3653"/>
    <w:rsid w:val="00FB3984"/>
    <w:rsid w:val="00FB3997"/>
    <w:rsid w:val="00FB63A6"/>
    <w:rsid w:val="00FC0246"/>
    <w:rsid w:val="00FC1003"/>
    <w:rsid w:val="00FC1A63"/>
    <w:rsid w:val="00FC25CC"/>
    <w:rsid w:val="00FC3C8D"/>
    <w:rsid w:val="00FC419B"/>
    <w:rsid w:val="00FC4D76"/>
    <w:rsid w:val="00FC55A4"/>
    <w:rsid w:val="00FC6D74"/>
    <w:rsid w:val="00FD0A81"/>
    <w:rsid w:val="00FD31FD"/>
    <w:rsid w:val="00FD3B09"/>
    <w:rsid w:val="00FD5C7E"/>
    <w:rsid w:val="00FD68EC"/>
    <w:rsid w:val="00FE0313"/>
    <w:rsid w:val="00FE1836"/>
    <w:rsid w:val="00FE2291"/>
    <w:rsid w:val="00FE3BF2"/>
    <w:rsid w:val="00FE440A"/>
    <w:rsid w:val="00FE5154"/>
    <w:rsid w:val="00FE5650"/>
    <w:rsid w:val="00FE5D33"/>
    <w:rsid w:val="00FE646D"/>
    <w:rsid w:val="00FF0124"/>
    <w:rsid w:val="00FF1BF9"/>
    <w:rsid w:val="00FF3121"/>
    <w:rsid w:val="00FF42D4"/>
    <w:rsid w:val="00FF4F45"/>
    <w:rsid w:val="00FF5425"/>
    <w:rsid w:val="00FF6D0F"/>
    <w:rsid w:val="00FF6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FF56F"/>
  <w15:chartTrackingRefBased/>
  <w15:docId w15:val="{C1379A9D-15F5-492F-82F8-6EE666EE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73E22"/>
    <w:rPr>
      <w:lang w:bidi="he-IL"/>
    </w:rPr>
  </w:style>
  <w:style w:type="paragraph" w:styleId="Titolo1">
    <w:name w:val="heading 1"/>
    <w:basedOn w:val="Normale"/>
    <w:next w:val="Normale"/>
    <w:link w:val="Titolo1Carattere"/>
    <w:qFormat/>
    <w:pPr>
      <w:keepNext/>
      <w:outlineLvl w:val="0"/>
    </w:pPr>
    <w:rPr>
      <w:sz w:val="24"/>
    </w:rPr>
  </w:style>
  <w:style w:type="paragraph" w:styleId="Titolo2">
    <w:name w:val="heading 2"/>
    <w:basedOn w:val="Normale"/>
    <w:next w:val="Normale"/>
    <w:qFormat/>
    <w:pPr>
      <w:keepNext/>
      <w:jc w:val="center"/>
      <w:outlineLvl w:val="1"/>
    </w:pPr>
    <w:rPr>
      <w:b/>
      <w:sz w:val="24"/>
    </w:rPr>
  </w:style>
  <w:style w:type="paragraph" w:styleId="Titolo3">
    <w:name w:val="heading 3"/>
    <w:basedOn w:val="Normale"/>
    <w:next w:val="Normale"/>
    <w:qFormat/>
    <w:pPr>
      <w:keepNext/>
      <w:jc w:val="both"/>
      <w:outlineLvl w:val="2"/>
    </w:pPr>
    <w:rPr>
      <w:sz w:val="24"/>
    </w:rPr>
  </w:style>
  <w:style w:type="paragraph" w:styleId="Titolo4">
    <w:name w:val="heading 4"/>
    <w:basedOn w:val="Normale"/>
    <w:next w:val="Normale"/>
    <w:qFormat/>
    <w:pPr>
      <w:keepNext/>
      <w:ind w:left="420"/>
      <w:outlineLvl w:val="3"/>
    </w:pPr>
    <w:rPr>
      <w:sz w:val="24"/>
    </w:rPr>
  </w:style>
  <w:style w:type="paragraph" w:styleId="Titolo5">
    <w:name w:val="heading 5"/>
    <w:basedOn w:val="Normale"/>
    <w:next w:val="Normale"/>
    <w:qFormat/>
    <w:pPr>
      <w:keepNext/>
      <w:outlineLvl w:val="4"/>
    </w:pPr>
    <w:rPr>
      <w:b/>
      <w:sz w:val="24"/>
    </w:rPr>
  </w:style>
  <w:style w:type="paragraph" w:styleId="Titolo6">
    <w:name w:val="heading 6"/>
    <w:basedOn w:val="Normale"/>
    <w:next w:val="Normale"/>
    <w:qFormat/>
    <w:pPr>
      <w:keepNext/>
      <w:jc w:val="both"/>
      <w:outlineLvl w:val="5"/>
    </w:pPr>
    <w:rPr>
      <w:sz w:val="24"/>
      <w:u w:val="single"/>
    </w:rPr>
  </w:style>
  <w:style w:type="paragraph" w:styleId="Titolo7">
    <w:name w:val="heading 7"/>
    <w:basedOn w:val="Normale"/>
    <w:next w:val="Normale"/>
    <w:qFormat/>
    <w:pPr>
      <w:keepNext/>
      <w:jc w:val="both"/>
      <w:outlineLvl w:val="6"/>
    </w:pPr>
    <w:rPr>
      <w:i/>
      <w:iCs/>
      <w:sz w:val="24"/>
    </w:rPr>
  </w:style>
  <w:style w:type="paragraph" w:styleId="Titolo8">
    <w:name w:val="heading 8"/>
    <w:basedOn w:val="Normale"/>
    <w:next w:val="Normale"/>
    <w:qFormat/>
    <w:pPr>
      <w:keepNext/>
      <w:ind w:left="720"/>
      <w:outlineLvl w:val="7"/>
    </w:pPr>
    <w:rPr>
      <w:sz w:val="24"/>
    </w:rPr>
  </w:style>
  <w:style w:type="paragraph" w:styleId="Titolo9">
    <w:name w:val="heading 9"/>
    <w:basedOn w:val="Normale"/>
    <w:next w:val="Normale"/>
    <w:qFormat/>
    <w:pPr>
      <w:keepNext/>
      <w:ind w:left="360"/>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jc w:val="both"/>
    </w:pPr>
    <w:rPr>
      <w:sz w:val="24"/>
    </w:rPr>
  </w:style>
  <w:style w:type="paragraph" w:styleId="Rientrocorpodeltesto">
    <w:name w:val="Body Text Indent"/>
    <w:basedOn w:val="Normale"/>
    <w:pPr>
      <w:ind w:left="360"/>
      <w:jc w:val="both"/>
    </w:pPr>
    <w:rPr>
      <w:sz w:val="24"/>
    </w:rPr>
  </w:style>
  <w:style w:type="paragraph" w:styleId="Corpodeltesto2">
    <w:name w:val="Body Text 2"/>
    <w:basedOn w:val="Normale"/>
    <w:rPr>
      <w:sz w:val="24"/>
    </w:rPr>
  </w:style>
  <w:style w:type="paragraph" w:styleId="Rientrocorpodeltesto2">
    <w:name w:val="Body Text Indent 2"/>
    <w:basedOn w:val="Normale"/>
    <w:pPr>
      <w:ind w:left="360"/>
    </w:pPr>
    <w:rPr>
      <w:sz w:val="24"/>
    </w:rPr>
  </w:style>
  <w:style w:type="paragraph" w:styleId="Rientrocorpodeltesto3">
    <w:name w:val="Body Text Indent 3"/>
    <w:basedOn w:val="Normale"/>
    <w:pPr>
      <w:ind w:firstLine="360"/>
      <w:jc w:val="both"/>
    </w:pPr>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sid w:val="00E46A2E"/>
    <w:rPr>
      <w:rFonts w:ascii="Tahoma" w:hAnsi="Tahoma" w:cs="Tahoma"/>
      <w:sz w:val="16"/>
      <w:szCs w:val="16"/>
    </w:rPr>
  </w:style>
  <w:style w:type="paragraph" w:customStyle="1" w:styleId="t3">
    <w:name w:val="t3"/>
    <w:basedOn w:val="Normale"/>
    <w:rsid w:val="00916B75"/>
    <w:pPr>
      <w:widowControl w:val="0"/>
      <w:autoSpaceDE w:val="0"/>
      <w:autoSpaceDN w:val="0"/>
      <w:spacing w:line="398" w:lineRule="auto"/>
    </w:pPr>
    <w:rPr>
      <w:rFonts w:eastAsia="SimSun"/>
      <w:sz w:val="24"/>
      <w:szCs w:val="24"/>
      <w:lang w:eastAsia="zh-CN" w:bidi="ar-SA"/>
    </w:rPr>
  </w:style>
  <w:style w:type="paragraph" w:styleId="Testonormale">
    <w:name w:val="Plain Text"/>
    <w:basedOn w:val="Normale"/>
    <w:link w:val="TestonormaleCarattere"/>
    <w:rsid w:val="00117E9A"/>
    <w:rPr>
      <w:rFonts w:ascii="Courier New" w:hAnsi="Courier New" w:cs="Courier New"/>
    </w:rPr>
  </w:style>
  <w:style w:type="character" w:customStyle="1" w:styleId="TestonormaleCarattere">
    <w:name w:val="Testo normale Carattere"/>
    <w:link w:val="Testonormale"/>
    <w:semiHidden/>
    <w:rsid w:val="00117E9A"/>
    <w:rPr>
      <w:rFonts w:ascii="Courier New" w:hAnsi="Courier New" w:cs="Courier New"/>
      <w:lang w:val="it-IT" w:eastAsia="it-IT" w:bidi="he-IL"/>
    </w:rPr>
  </w:style>
  <w:style w:type="paragraph" w:styleId="Paragrafoelenco">
    <w:name w:val="List Paragraph"/>
    <w:basedOn w:val="Normale"/>
    <w:uiPriority w:val="34"/>
    <w:qFormat/>
    <w:rsid w:val="00A10C54"/>
    <w:pPr>
      <w:ind w:left="708"/>
    </w:pPr>
    <w:rPr>
      <w:lang w:bidi="ar-SA"/>
    </w:rPr>
  </w:style>
  <w:style w:type="paragraph" w:customStyle="1" w:styleId="p3">
    <w:name w:val="p3"/>
    <w:basedOn w:val="Normale"/>
    <w:rsid w:val="00BF22E5"/>
    <w:pPr>
      <w:widowControl w:val="0"/>
      <w:tabs>
        <w:tab w:val="left" w:pos="720"/>
      </w:tabs>
      <w:autoSpaceDE w:val="0"/>
      <w:autoSpaceDN w:val="0"/>
      <w:spacing w:line="540" w:lineRule="auto"/>
    </w:pPr>
    <w:rPr>
      <w:sz w:val="24"/>
      <w:szCs w:val="24"/>
      <w:lang w:bidi="ar-SA"/>
    </w:rPr>
  </w:style>
  <w:style w:type="paragraph" w:styleId="Intestazione">
    <w:name w:val="header"/>
    <w:basedOn w:val="Normale"/>
    <w:link w:val="IntestazioneCarattere"/>
    <w:uiPriority w:val="99"/>
    <w:unhideWhenUsed/>
    <w:rsid w:val="00A91462"/>
    <w:pPr>
      <w:tabs>
        <w:tab w:val="center" w:pos="4819"/>
        <w:tab w:val="right" w:pos="9638"/>
      </w:tabs>
    </w:pPr>
  </w:style>
  <w:style w:type="character" w:customStyle="1" w:styleId="IntestazioneCarattere">
    <w:name w:val="Intestazione Carattere"/>
    <w:link w:val="Intestazione"/>
    <w:uiPriority w:val="99"/>
    <w:rsid w:val="00A91462"/>
    <w:rPr>
      <w:lang w:bidi="he-IL"/>
    </w:rPr>
  </w:style>
  <w:style w:type="paragraph" w:customStyle="1" w:styleId="Corpodeltesto21">
    <w:name w:val="Corpo del testo 21"/>
    <w:basedOn w:val="Normale"/>
    <w:rsid w:val="00C02A3D"/>
    <w:pPr>
      <w:jc w:val="both"/>
    </w:pPr>
    <w:rPr>
      <w:sz w:val="24"/>
      <w:lang w:bidi="ar-SA"/>
    </w:rPr>
  </w:style>
  <w:style w:type="character" w:customStyle="1" w:styleId="CorpotestoCarattere">
    <w:name w:val="Corpo testo Carattere"/>
    <w:link w:val="Corpotesto"/>
    <w:rsid w:val="00C02A3D"/>
    <w:rPr>
      <w:sz w:val="24"/>
      <w:lang w:bidi="he-IL"/>
    </w:rPr>
  </w:style>
  <w:style w:type="paragraph" w:styleId="NormaleWeb">
    <w:name w:val="Normal (Web)"/>
    <w:basedOn w:val="Normale"/>
    <w:rsid w:val="00930EFC"/>
    <w:rPr>
      <w:sz w:val="24"/>
      <w:szCs w:val="24"/>
      <w:lang w:bidi="ar-SA"/>
    </w:rPr>
  </w:style>
  <w:style w:type="table" w:styleId="Grigliatabella">
    <w:name w:val="Table Grid"/>
    <w:basedOn w:val="Tabellanormale"/>
    <w:rsid w:val="00E63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287E47"/>
    <w:rPr>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086">
      <w:bodyDiv w:val="1"/>
      <w:marLeft w:val="0"/>
      <w:marRight w:val="0"/>
      <w:marTop w:val="0"/>
      <w:marBottom w:val="0"/>
      <w:divBdr>
        <w:top w:val="none" w:sz="0" w:space="0" w:color="auto"/>
        <w:left w:val="none" w:sz="0" w:space="0" w:color="auto"/>
        <w:bottom w:val="none" w:sz="0" w:space="0" w:color="auto"/>
        <w:right w:val="none" w:sz="0" w:space="0" w:color="auto"/>
      </w:divBdr>
    </w:div>
    <w:div w:id="64912341">
      <w:bodyDiv w:val="1"/>
      <w:marLeft w:val="0"/>
      <w:marRight w:val="0"/>
      <w:marTop w:val="0"/>
      <w:marBottom w:val="0"/>
      <w:divBdr>
        <w:top w:val="none" w:sz="0" w:space="0" w:color="auto"/>
        <w:left w:val="none" w:sz="0" w:space="0" w:color="auto"/>
        <w:bottom w:val="none" w:sz="0" w:space="0" w:color="auto"/>
        <w:right w:val="none" w:sz="0" w:space="0" w:color="auto"/>
      </w:divBdr>
    </w:div>
    <w:div w:id="76942831">
      <w:bodyDiv w:val="1"/>
      <w:marLeft w:val="0"/>
      <w:marRight w:val="0"/>
      <w:marTop w:val="0"/>
      <w:marBottom w:val="0"/>
      <w:divBdr>
        <w:top w:val="none" w:sz="0" w:space="0" w:color="auto"/>
        <w:left w:val="none" w:sz="0" w:space="0" w:color="auto"/>
        <w:bottom w:val="none" w:sz="0" w:space="0" w:color="auto"/>
        <w:right w:val="none" w:sz="0" w:space="0" w:color="auto"/>
      </w:divBdr>
    </w:div>
    <w:div w:id="96099220">
      <w:bodyDiv w:val="1"/>
      <w:marLeft w:val="0"/>
      <w:marRight w:val="0"/>
      <w:marTop w:val="0"/>
      <w:marBottom w:val="0"/>
      <w:divBdr>
        <w:top w:val="none" w:sz="0" w:space="0" w:color="auto"/>
        <w:left w:val="none" w:sz="0" w:space="0" w:color="auto"/>
        <w:bottom w:val="none" w:sz="0" w:space="0" w:color="auto"/>
        <w:right w:val="none" w:sz="0" w:space="0" w:color="auto"/>
      </w:divBdr>
    </w:div>
    <w:div w:id="123276536">
      <w:bodyDiv w:val="1"/>
      <w:marLeft w:val="0"/>
      <w:marRight w:val="0"/>
      <w:marTop w:val="0"/>
      <w:marBottom w:val="0"/>
      <w:divBdr>
        <w:top w:val="none" w:sz="0" w:space="0" w:color="auto"/>
        <w:left w:val="none" w:sz="0" w:space="0" w:color="auto"/>
        <w:bottom w:val="none" w:sz="0" w:space="0" w:color="auto"/>
        <w:right w:val="none" w:sz="0" w:space="0" w:color="auto"/>
      </w:divBdr>
    </w:div>
    <w:div w:id="213588457">
      <w:bodyDiv w:val="1"/>
      <w:marLeft w:val="0"/>
      <w:marRight w:val="0"/>
      <w:marTop w:val="0"/>
      <w:marBottom w:val="0"/>
      <w:divBdr>
        <w:top w:val="none" w:sz="0" w:space="0" w:color="auto"/>
        <w:left w:val="none" w:sz="0" w:space="0" w:color="auto"/>
        <w:bottom w:val="none" w:sz="0" w:space="0" w:color="auto"/>
        <w:right w:val="none" w:sz="0" w:space="0" w:color="auto"/>
      </w:divBdr>
    </w:div>
    <w:div w:id="245262878">
      <w:bodyDiv w:val="1"/>
      <w:marLeft w:val="0"/>
      <w:marRight w:val="0"/>
      <w:marTop w:val="0"/>
      <w:marBottom w:val="0"/>
      <w:divBdr>
        <w:top w:val="none" w:sz="0" w:space="0" w:color="auto"/>
        <w:left w:val="none" w:sz="0" w:space="0" w:color="auto"/>
        <w:bottom w:val="none" w:sz="0" w:space="0" w:color="auto"/>
        <w:right w:val="none" w:sz="0" w:space="0" w:color="auto"/>
      </w:divBdr>
    </w:div>
    <w:div w:id="257568175">
      <w:bodyDiv w:val="1"/>
      <w:marLeft w:val="0"/>
      <w:marRight w:val="0"/>
      <w:marTop w:val="0"/>
      <w:marBottom w:val="0"/>
      <w:divBdr>
        <w:top w:val="none" w:sz="0" w:space="0" w:color="auto"/>
        <w:left w:val="none" w:sz="0" w:space="0" w:color="auto"/>
        <w:bottom w:val="none" w:sz="0" w:space="0" w:color="auto"/>
        <w:right w:val="none" w:sz="0" w:space="0" w:color="auto"/>
      </w:divBdr>
    </w:div>
    <w:div w:id="260143778">
      <w:bodyDiv w:val="1"/>
      <w:marLeft w:val="0"/>
      <w:marRight w:val="0"/>
      <w:marTop w:val="0"/>
      <w:marBottom w:val="0"/>
      <w:divBdr>
        <w:top w:val="none" w:sz="0" w:space="0" w:color="auto"/>
        <w:left w:val="none" w:sz="0" w:space="0" w:color="auto"/>
        <w:bottom w:val="none" w:sz="0" w:space="0" w:color="auto"/>
        <w:right w:val="none" w:sz="0" w:space="0" w:color="auto"/>
      </w:divBdr>
    </w:div>
    <w:div w:id="300499406">
      <w:bodyDiv w:val="1"/>
      <w:marLeft w:val="0"/>
      <w:marRight w:val="0"/>
      <w:marTop w:val="0"/>
      <w:marBottom w:val="0"/>
      <w:divBdr>
        <w:top w:val="none" w:sz="0" w:space="0" w:color="auto"/>
        <w:left w:val="none" w:sz="0" w:space="0" w:color="auto"/>
        <w:bottom w:val="none" w:sz="0" w:space="0" w:color="auto"/>
        <w:right w:val="none" w:sz="0" w:space="0" w:color="auto"/>
      </w:divBdr>
    </w:div>
    <w:div w:id="307445005">
      <w:bodyDiv w:val="1"/>
      <w:marLeft w:val="0"/>
      <w:marRight w:val="0"/>
      <w:marTop w:val="0"/>
      <w:marBottom w:val="0"/>
      <w:divBdr>
        <w:top w:val="none" w:sz="0" w:space="0" w:color="auto"/>
        <w:left w:val="none" w:sz="0" w:space="0" w:color="auto"/>
        <w:bottom w:val="none" w:sz="0" w:space="0" w:color="auto"/>
        <w:right w:val="none" w:sz="0" w:space="0" w:color="auto"/>
      </w:divBdr>
    </w:div>
    <w:div w:id="390228243">
      <w:bodyDiv w:val="1"/>
      <w:marLeft w:val="0"/>
      <w:marRight w:val="0"/>
      <w:marTop w:val="0"/>
      <w:marBottom w:val="0"/>
      <w:divBdr>
        <w:top w:val="none" w:sz="0" w:space="0" w:color="auto"/>
        <w:left w:val="none" w:sz="0" w:space="0" w:color="auto"/>
        <w:bottom w:val="none" w:sz="0" w:space="0" w:color="auto"/>
        <w:right w:val="none" w:sz="0" w:space="0" w:color="auto"/>
      </w:divBdr>
    </w:div>
    <w:div w:id="664019468">
      <w:bodyDiv w:val="1"/>
      <w:marLeft w:val="0"/>
      <w:marRight w:val="0"/>
      <w:marTop w:val="0"/>
      <w:marBottom w:val="0"/>
      <w:divBdr>
        <w:top w:val="none" w:sz="0" w:space="0" w:color="auto"/>
        <w:left w:val="none" w:sz="0" w:space="0" w:color="auto"/>
        <w:bottom w:val="none" w:sz="0" w:space="0" w:color="auto"/>
        <w:right w:val="none" w:sz="0" w:space="0" w:color="auto"/>
      </w:divBdr>
    </w:div>
    <w:div w:id="787238494">
      <w:bodyDiv w:val="1"/>
      <w:marLeft w:val="0"/>
      <w:marRight w:val="0"/>
      <w:marTop w:val="0"/>
      <w:marBottom w:val="0"/>
      <w:divBdr>
        <w:top w:val="none" w:sz="0" w:space="0" w:color="auto"/>
        <w:left w:val="none" w:sz="0" w:space="0" w:color="auto"/>
        <w:bottom w:val="none" w:sz="0" w:space="0" w:color="auto"/>
        <w:right w:val="none" w:sz="0" w:space="0" w:color="auto"/>
      </w:divBdr>
    </w:div>
    <w:div w:id="845173791">
      <w:bodyDiv w:val="1"/>
      <w:marLeft w:val="0"/>
      <w:marRight w:val="0"/>
      <w:marTop w:val="0"/>
      <w:marBottom w:val="0"/>
      <w:divBdr>
        <w:top w:val="none" w:sz="0" w:space="0" w:color="auto"/>
        <w:left w:val="none" w:sz="0" w:space="0" w:color="auto"/>
        <w:bottom w:val="none" w:sz="0" w:space="0" w:color="auto"/>
        <w:right w:val="none" w:sz="0" w:space="0" w:color="auto"/>
      </w:divBdr>
    </w:div>
    <w:div w:id="857088021">
      <w:bodyDiv w:val="1"/>
      <w:marLeft w:val="0"/>
      <w:marRight w:val="0"/>
      <w:marTop w:val="0"/>
      <w:marBottom w:val="0"/>
      <w:divBdr>
        <w:top w:val="none" w:sz="0" w:space="0" w:color="auto"/>
        <w:left w:val="none" w:sz="0" w:space="0" w:color="auto"/>
        <w:bottom w:val="none" w:sz="0" w:space="0" w:color="auto"/>
        <w:right w:val="none" w:sz="0" w:space="0" w:color="auto"/>
      </w:divBdr>
    </w:div>
    <w:div w:id="951128744">
      <w:bodyDiv w:val="1"/>
      <w:marLeft w:val="0"/>
      <w:marRight w:val="0"/>
      <w:marTop w:val="0"/>
      <w:marBottom w:val="0"/>
      <w:divBdr>
        <w:top w:val="none" w:sz="0" w:space="0" w:color="auto"/>
        <w:left w:val="none" w:sz="0" w:space="0" w:color="auto"/>
        <w:bottom w:val="none" w:sz="0" w:space="0" w:color="auto"/>
        <w:right w:val="none" w:sz="0" w:space="0" w:color="auto"/>
      </w:divBdr>
    </w:div>
    <w:div w:id="1064763419">
      <w:bodyDiv w:val="1"/>
      <w:marLeft w:val="0"/>
      <w:marRight w:val="0"/>
      <w:marTop w:val="0"/>
      <w:marBottom w:val="0"/>
      <w:divBdr>
        <w:top w:val="none" w:sz="0" w:space="0" w:color="auto"/>
        <w:left w:val="none" w:sz="0" w:space="0" w:color="auto"/>
        <w:bottom w:val="none" w:sz="0" w:space="0" w:color="auto"/>
        <w:right w:val="none" w:sz="0" w:space="0" w:color="auto"/>
      </w:divBdr>
    </w:div>
    <w:div w:id="1155414708">
      <w:bodyDiv w:val="1"/>
      <w:marLeft w:val="0"/>
      <w:marRight w:val="0"/>
      <w:marTop w:val="0"/>
      <w:marBottom w:val="0"/>
      <w:divBdr>
        <w:top w:val="none" w:sz="0" w:space="0" w:color="auto"/>
        <w:left w:val="none" w:sz="0" w:space="0" w:color="auto"/>
        <w:bottom w:val="none" w:sz="0" w:space="0" w:color="auto"/>
        <w:right w:val="none" w:sz="0" w:space="0" w:color="auto"/>
      </w:divBdr>
    </w:div>
    <w:div w:id="1157694394">
      <w:bodyDiv w:val="1"/>
      <w:marLeft w:val="0"/>
      <w:marRight w:val="0"/>
      <w:marTop w:val="0"/>
      <w:marBottom w:val="0"/>
      <w:divBdr>
        <w:top w:val="none" w:sz="0" w:space="0" w:color="auto"/>
        <w:left w:val="none" w:sz="0" w:space="0" w:color="auto"/>
        <w:bottom w:val="none" w:sz="0" w:space="0" w:color="auto"/>
        <w:right w:val="none" w:sz="0" w:space="0" w:color="auto"/>
      </w:divBdr>
    </w:div>
    <w:div w:id="1159886347">
      <w:bodyDiv w:val="1"/>
      <w:marLeft w:val="0"/>
      <w:marRight w:val="0"/>
      <w:marTop w:val="0"/>
      <w:marBottom w:val="0"/>
      <w:divBdr>
        <w:top w:val="none" w:sz="0" w:space="0" w:color="auto"/>
        <w:left w:val="none" w:sz="0" w:space="0" w:color="auto"/>
        <w:bottom w:val="none" w:sz="0" w:space="0" w:color="auto"/>
        <w:right w:val="none" w:sz="0" w:space="0" w:color="auto"/>
      </w:divBdr>
    </w:div>
    <w:div w:id="1203909133">
      <w:bodyDiv w:val="1"/>
      <w:marLeft w:val="0"/>
      <w:marRight w:val="0"/>
      <w:marTop w:val="0"/>
      <w:marBottom w:val="0"/>
      <w:divBdr>
        <w:top w:val="none" w:sz="0" w:space="0" w:color="auto"/>
        <w:left w:val="none" w:sz="0" w:space="0" w:color="auto"/>
        <w:bottom w:val="none" w:sz="0" w:space="0" w:color="auto"/>
        <w:right w:val="none" w:sz="0" w:space="0" w:color="auto"/>
      </w:divBdr>
    </w:div>
    <w:div w:id="1282106772">
      <w:bodyDiv w:val="1"/>
      <w:marLeft w:val="0"/>
      <w:marRight w:val="0"/>
      <w:marTop w:val="0"/>
      <w:marBottom w:val="0"/>
      <w:divBdr>
        <w:top w:val="none" w:sz="0" w:space="0" w:color="auto"/>
        <w:left w:val="none" w:sz="0" w:space="0" w:color="auto"/>
        <w:bottom w:val="none" w:sz="0" w:space="0" w:color="auto"/>
        <w:right w:val="none" w:sz="0" w:space="0" w:color="auto"/>
      </w:divBdr>
    </w:div>
    <w:div w:id="1341084224">
      <w:bodyDiv w:val="1"/>
      <w:marLeft w:val="0"/>
      <w:marRight w:val="0"/>
      <w:marTop w:val="0"/>
      <w:marBottom w:val="0"/>
      <w:divBdr>
        <w:top w:val="none" w:sz="0" w:space="0" w:color="auto"/>
        <w:left w:val="none" w:sz="0" w:space="0" w:color="auto"/>
        <w:bottom w:val="none" w:sz="0" w:space="0" w:color="auto"/>
        <w:right w:val="none" w:sz="0" w:space="0" w:color="auto"/>
      </w:divBdr>
    </w:div>
    <w:div w:id="1415469804">
      <w:bodyDiv w:val="1"/>
      <w:marLeft w:val="0"/>
      <w:marRight w:val="0"/>
      <w:marTop w:val="0"/>
      <w:marBottom w:val="0"/>
      <w:divBdr>
        <w:top w:val="none" w:sz="0" w:space="0" w:color="auto"/>
        <w:left w:val="none" w:sz="0" w:space="0" w:color="auto"/>
        <w:bottom w:val="none" w:sz="0" w:space="0" w:color="auto"/>
        <w:right w:val="none" w:sz="0" w:space="0" w:color="auto"/>
      </w:divBdr>
    </w:div>
    <w:div w:id="1615408469">
      <w:bodyDiv w:val="1"/>
      <w:marLeft w:val="0"/>
      <w:marRight w:val="0"/>
      <w:marTop w:val="0"/>
      <w:marBottom w:val="0"/>
      <w:divBdr>
        <w:top w:val="none" w:sz="0" w:space="0" w:color="auto"/>
        <w:left w:val="none" w:sz="0" w:space="0" w:color="auto"/>
        <w:bottom w:val="none" w:sz="0" w:space="0" w:color="auto"/>
        <w:right w:val="none" w:sz="0" w:space="0" w:color="auto"/>
      </w:divBdr>
    </w:div>
    <w:div w:id="1685129712">
      <w:bodyDiv w:val="1"/>
      <w:marLeft w:val="0"/>
      <w:marRight w:val="0"/>
      <w:marTop w:val="0"/>
      <w:marBottom w:val="0"/>
      <w:divBdr>
        <w:top w:val="none" w:sz="0" w:space="0" w:color="auto"/>
        <w:left w:val="none" w:sz="0" w:space="0" w:color="auto"/>
        <w:bottom w:val="none" w:sz="0" w:space="0" w:color="auto"/>
        <w:right w:val="none" w:sz="0" w:space="0" w:color="auto"/>
      </w:divBdr>
    </w:div>
    <w:div w:id="1742216057">
      <w:bodyDiv w:val="1"/>
      <w:marLeft w:val="0"/>
      <w:marRight w:val="0"/>
      <w:marTop w:val="0"/>
      <w:marBottom w:val="0"/>
      <w:divBdr>
        <w:top w:val="none" w:sz="0" w:space="0" w:color="auto"/>
        <w:left w:val="none" w:sz="0" w:space="0" w:color="auto"/>
        <w:bottom w:val="none" w:sz="0" w:space="0" w:color="auto"/>
        <w:right w:val="none" w:sz="0" w:space="0" w:color="auto"/>
      </w:divBdr>
    </w:div>
    <w:div w:id="1873958220">
      <w:bodyDiv w:val="1"/>
      <w:marLeft w:val="0"/>
      <w:marRight w:val="0"/>
      <w:marTop w:val="0"/>
      <w:marBottom w:val="0"/>
      <w:divBdr>
        <w:top w:val="none" w:sz="0" w:space="0" w:color="auto"/>
        <w:left w:val="none" w:sz="0" w:space="0" w:color="auto"/>
        <w:bottom w:val="none" w:sz="0" w:space="0" w:color="auto"/>
        <w:right w:val="none" w:sz="0" w:space="0" w:color="auto"/>
      </w:divBdr>
    </w:div>
    <w:div w:id="2041856576">
      <w:bodyDiv w:val="1"/>
      <w:marLeft w:val="0"/>
      <w:marRight w:val="0"/>
      <w:marTop w:val="0"/>
      <w:marBottom w:val="0"/>
      <w:divBdr>
        <w:top w:val="none" w:sz="0" w:space="0" w:color="auto"/>
        <w:left w:val="none" w:sz="0" w:space="0" w:color="auto"/>
        <w:bottom w:val="none" w:sz="0" w:space="0" w:color="auto"/>
        <w:right w:val="none" w:sz="0" w:space="0" w:color="auto"/>
      </w:divBdr>
    </w:div>
    <w:div w:id="2049646484">
      <w:bodyDiv w:val="1"/>
      <w:marLeft w:val="0"/>
      <w:marRight w:val="0"/>
      <w:marTop w:val="0"/>
      <w:marBottom w:val="0"/>
      <w:divBdr>
        <w:top w:val="none" w:sz="0" w:space="0" w:color="auto"/>
        <w:left w:val="none" w:sz="0" w:space="0" w:color="auto"/>
        <w:bottom w:val="none" w:sz="0" w:space="0" w:color="auto"/>
        <w:right w:val="none" w:sz="0" w:space="0" w:color="auto"/>
      </w:divBdr>
    </w:div>
    <w:div w:id="207087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oleObject" Target="embeddings/Microsoft_Excel_97-2003_Worksheet2.xls"/><Relationship Id="rId18" Type="http://schemas.openxmlformats.org/officeDocument/2006/relationships/oleObject" Target="embeddings/Microsoft_Excel_97-2003_Worksheet4.xls"/><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oleObject" Target="embeddings/Microsoft_Excel_97-2003_Worksheet3.xls"/><Relationship Id="rId23" Type="http://schemas.openxmlformats.org/officeDocument/2006/relationships/theme" Target="theme/theme1.xml"/><Relationship Id="rId10" Type="http://schemas.openxmlformats.org/officeDocument/2006/relationships/oleObject" Target="embeddings/Microsoft_Excel_97-2003_Worksheet1.xls"/><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860940695296524"/>
          <c:y val="8.0188679245283015E-2"/>
          <c:w val="0.57055214723926384"/>
          <c:h val="0.75471698113207553"/>
        </c:manualLayout>
      </c:layout>
      <c:bar3DChart>
        <c:barDir val="col"/>
        <c:grouping val="clustered"/>
        <c:varyColors val="0"/>
        <c:ser>
          <c:idx val="3"/>
          <c:order val="0"/>
          <c:tx>
            <c:strRef>
              <c:f>Sheet1!$A$2</c:f>
              <c:strCache>
                <c:ptCount val="1"/>
                <c:pt idx="0">
                  <c:v>Trasferimenti correnti a spese di funzionamento</c:v>
                </c:pt>
              </c:strCache>
            </c:strRef>
          </c:tx>
          <c:spPr>
            <a:solidFill>
              <a:srgbClr val="CCFFFF"/>
            </a:solidFill>
            <a:ln w="12700">
              <a:solidFill>
                <a:srgbClr val="000000"/>
              </a:solidFill>
              <a:prstDash val="solid"/>
            </a:ln>
          </c:spPr>
          <c:invertIfNegative val="0"/>
          <c:cat>
            <c:numRef>
              <c:f>Sheet1!$B$1:$E$1</c:f>
              <c:numCache>
                <c:formatCode>General</c:formatCode>
                <c:ptCount val="4"/>
                <c:pt idx="0">
                  <c:v>2010</c:v>
                </c:pt>
                <c:pt idx="1">
                  <c:v>2011</c:v>
                </c:pt>
                <c:pt idx="2">
                  <c:v>2012</c:v>
                </c:pt>
                <c:pt idx="3">
                  <c:v>2013</c:v>
                </c:pt>
              </c:numCache>
            </c:numRef>
          </c:cat>
          <c:val>
            <c:numRef>
              <c:f>Sheet1!$B$2:$E$2</c:f>
              <c:numCache>
                <c:formatCode>General</c:formatCode>
                <c:ptCount val="4"/>
                <c:pt idx="0">
                  <c:v>1832813.58</c:v>
                </c:pt>
                <c:pt idx="1">
                  <c:v>1786224.5</c:v>
                </c:pt>
                <c:pt idx="2">
                  <c:v>1727379.84</c:v>
                </c:pt>
                <c:pt idx="3">
                  <c:v>1622313.17</c:v>
                </c:pt>
              </c:numCache>
            </c:numRef>
          </c:val>
          <c:extLst>
            <c:ext xmlns:c16="http://schemas.microsoft.com/office/drawing/2014/chart" uri="{C3380CC4-5D6E-409C-BE32-E72D297353CC}">
              <c16:uniqueId val="{00000000-A273-4546-8137-90BCC9C417A5}"/>
            </c:ext>
          </c:extLst>
        </c:ser>
        <c:ser>
          <c:idx val="0"/>
          <c:order val="1"/>
          <c:tx>
            <c:strRef>
              <c:f>Sheet1!$A$3</c:f>
              <c:strCache>
                <c:ptCount val="1"/>
                <c:pt idx="0">
                  <c:v>Regione Toscana</c:v>
                </c:pt>
              </c:strCache>
            </c:strRef>
          </c:tx>
          <c:spPr>
            <a:solidFill>
              <a:srgbClr val="9999FF"/>
            </a:solidFill>
            <a:ln w="12700">
              <a:solidFill>
                <a:srgbClr val="000000"/>
              </a:solidFill>
              <a:prstDash val="solid"/>
            </a:ln>
          </c:spPr>
          <c:invertIfNegative val="0"/>
          <c:cat>
            <c:numRef>
              <c:f>Sheet1!$B$1:$E$1</c:f>
              <c:numCache>
                <c:formatCode>General</c:formatCode>
                <c:ptCount val="4"/>
                <c:pt idx="0">
                  <c:v>2010</c:v>
                </c:pt>
                <c:pt idx="1">
                  <c:v>2011</c:v>
                </c:pt>
                <c:pt idx="2">
                  <c:v>2012</c:v>
                </c:pt>
                <c:pt idx="3">
                  <c:v>2013</c:v>
                </c:pt>
              </c:numCache>
            </c:numRef>
          </c:cat>
          <c:val>
            <c:numRef>
              <c:f>Sheet1!$B$3:$E$3</c:f>
              <c:numCache>
                <c:formatCode>General</c:formatCode>
                <c:ptCount val="4"/>
                <c:pt idx="0">
                  <c:v>1442244.54</c:v>
                </c:pt>
                <c:pt idx="1">
                  <c:v>1395655.45</c:v>
                </c:pt>
                <c:pt idx="2">
                  <c:v>1382566.67</c:v>
                </c:pt>
                <c:pt idx="3">
                  <c:v>1277500</c:v>
                </c:pt>
              </c:numCache>
            </c:numRef>
          </c:val>
          <c:extLst>
            <c:ext xmlns:c16="http://schemas.microsoft.com/office/drawing/2014/chart" uri="{C3380CC4-5D6E-409C-BE32-E72D297353CC}">
              <c16:uniqueId val="{00000001-A273-4546-8137-90BCC9C417A5}"/>
            </c:ext>
          </c:extLst>
        </c:ser>
        <c:ser>
          <c:idx val="1"/>
          <c:order val="2"/>
          <c:tx>
            <c:strRef>
              <c:f>Sheet1!$A$4</c:f>
              <c:strCache>
                <c:ptCount val="1"/>
                <c:pt idx="0">
                  <c:v>Comunità Parco</c:v>
                </c:pt>
              </c:strCache>
            </c:strRef>
          </c:tx>
          <c:spPr>
            <a:solidFill>
              <a:srgbClr val="993366"/>
            </a:solidFill>
            <a:ln w="12700">
              <a:solidFill>
                <a:srgbClr val="000000"/>
              </a:solidFill>
              <a:prstDash val="solid"/>
            </a:ln>
          </c:spPr>
          <c:invertIfNegative val="0"/>
          <c:cat>
            <c:numRef>
              <c:f>Sheet1!$B$1:$E$1</c:f>
              <c:numCache>
                <c:formatCode>General</c:formatCode>
                <c:ptCount val="4"/>
                <c:pt idx="0">
                  <c:v>2010</c:v>
                </c:pt>
                <c:pt idx="1">
                  <c:v>2011</c:v>
                </c:pt>
                <c:pt idx="2">
                  <c:v>2012</c:v>
                </c:pt>
                <c:pt idx="3">
                  <c:v>2013</c:v>
                </c:pt>
              </c:numCache>
            </c:numRef>
          </c:cat>
          <c:val>
            <c:numRef>
              <c:f>Sheet1!$B$4:$E$4</c:f>
              <c:numCache>
                <c:formatCode>General</c:formatCode>
                <c:ptCount val="4"/>
                <c:pt idx="0">
                  <c:v>390569.04</c:v>
                </c:pt>
                <c:pt idx="1">
                  <c:v>390569.05</c:v>
                </c:pt>
                <c:pt idx="2">
                  <c:v>344812.3</c:v>
                </c:pt>
                <c:pt idx="3">
                  <c:v>344813.17</c:v>
                </c:pt>
              </c:numCache>
            </c:numRef>
          </c:val>
          <c:extLst>
            <c:ext xmlns:c16="http://schemas.microsoft.com/office/drawing/2014/chart" uri="{C3380CC4-5D6E-409C-BE32-E72D297353CC}">
              <c16:uniqueId val="{00000002-A273-4546-8137-90BCC9C417A5}"/>
            </c:ext>
          </c:extLst>
        </c:ser>
        <c:dLbls>
          <c:showLegendKey val="0"/>
          <c:showVal val="0"/>
          <c:showCatName val="0"/>
          <c:showSerName val="0"/>
          <c:showPercent val="0"/>
          <c:showBubbleSize val="0"/>
        </c:dLbls>
        <c:gapWidth val="150"/>
        <c:gapDepth val="0"/>
        <c:shape val="box"/>
        <c:axId val="148250384"/>
        <c:axId val="1"/>
        <c:axId val="0"/>
      </c:bar3DChart>
      <c:catAx>
        <c:axId val="1482503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it-IT"/>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it-IT"/>
          </a:p>
        </c:txPr>
        <c:crossAx val="148250384"/>
        <c:crosses val="autoZero"/>
        <c:crossBetween val="between"/>
      </c:valAx>
      <c:spPr>
        <a:noFill/>
        <a:ln w="25400">
          <a:noFill/>
        </a:ln>
      </c:spPr>
    </c:plotArea>
    <c:legend>
      <c:legendPos val="r"/>
      <c:layout>
        <c:manualLayout>
          <c:xMode val="edge"/>
          <c:yMode val="edge"/>
          <c:x val="0.71165644171779141"/>
          <c:y val="0.25"/>
          <c:w val="0.28016359918200406"/>
          <c:h val="0.5"/>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it-IT"/>
        </a:p>
      </c:txPr>
    </c:legend>
    <c:plotVisOnly val="1"/>
    <c:dispBlanksAs val="gap"/>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419700214132762"/>
          <c:y val="8.520179372197309E-2"/>
          <c:w val="0.58029978586723774"/>
          <c:h val="0.75336322869955152"/>
        </c:manualLayout>
      </c:layout>
      <c:bar3DChart>
        <c:barDir val="col"/>
        <c:grouping val="clustered"/>
        <c:varyColors val="0"/>
        <c:ser>
          <c:idx val="0"/>
          <c:order val="0"/>
          <c:tx>
            <c:strRef>
              <c:f>Sheet1!$A$2</c:f>
              <c:strCache>
                <c:ptCount val="1"/>
                <c:pt idx="0">
                  <c:v>Totale</c:v>
                </c:pt>
              </c:strCache>
            </c:strRef>
          </c:tx>
          <c:spPr>
            <a:solidFill>
              <a:srgbClr val="9999FF"/>
            </a:solidFill>
            <a:ln w="12674">
              <a:solidFill>
                <a:srgbClr val="000000"/>
              </a:solidFill>
              <a:prstDash val="solid"/>
            </a:ln>
          </c:spPr>
          <c:invertIfNegative val="0"/>
          <c:cat>
            <c:numRef>
              <c:f>Sheet1!$B$1:$F$1</c:f>
              <c:numCache>
                <c:formatCode>General</c:formatCode>
                <c:ptCount val="5"/>
                <c:pt idx="0">
                  <c:v>2010</c:v>
                </c:pt>
                <c:pt idx="1">
                  <c:v>2011</c:v>
                </c:pt>
                <c:pt idx="2">
                  <c:v>2012</c:v>
                </c:pt>
                <c:pt idx="3">
                  <c:v>2013</c:v>
                </c:pt>
              </c:numCache>
            </c:numRef>
          </c:cat>
          <c:val>
            <c:numRef>
              <c:f>Sheet1!$B$2:$F$2</c:f>
              <c:numCache>
                <c:formatCode>General</c:formatCode>
                <c:ptCount val="5"/>
                <c:pt idx="0">
                  <c:v>510024.53</c:v>
                </c:pt>
                <c:pt idx="1">
                  <c:v>601488.24</c:v>
                </c:pt>
                <c:pt idx="2">
                  <c:v>587800.30000000005</c:v>
                </c:pt>
                <c:pt idx="3">
                  <c:v>601000</c:v>
                </c:pt>
              </c:numCache>
            </c:numRef>
          </c:val>
          <c:extLst>
            <c:ext xmlns:c16="http://schemas.microsoft.com/office/drawing/2014/chart" uri="{C3380CC4-5D6E-409C-BE32-E72D297353CC}">
              <c16:uniqueId val="{00000000-71F7-4911-9247-F1FB45BC4B1C}"/>
            </c:ext>
          </c:extLst>
        </c:ser>
        <c:ser>
          <c:idx val="1"/>
          <c:order val="1"/>
          <c:tx>
            <c:strRef>
              <c:f>Sheet1!$A$3</c:f>
              <c:strCache>
                <c:ptCount val="1"/>
                <c:pt idx="0">
                  <c:v>Ingressi parco</c:v>
                </c:pt>
              </c:strCache>
            </c:strRef>
          </c:tx>
          <c:spPr>
            <a:solidFill>
              <a:srgbClr val="993366"/>
            </a:solidFill>
            <a:ln w="12674">
              <a:solidFill>
                <a:srgbClr val="000000"/>
              </a:solidFill>
              <a:prstDash val="solid"/>
            </a:ln>
          </c:spPr>
          <c:invertIfNegative val="0"/>
          <c:cat>
            <c:numRef>
              <c:f>Sheet1!$B$1:$F$1</c:f>
              <c:numCache>
                <c:formatCode>General</c:formatCode>
                <c:ptCount val="5"/>
                <c:pt idx="0">
                  <c:v>2010</c:v>
                </c:pt>
                <c:pt idx="1">
                  <c:v>2011</c:v>
                </c:pt>
                <c:pt idx="2">
                  <c:v>2012</c:v>
                </c:pt>
                <c:pt idx="3">
                  <c:v>2013</c:v>
                </c:pt>
              </c:numCache>
            </c:numRef>
          </c:cat>
          <c:val>
            <c:numRef>
              <c:f>Sheet1!$B$3:$F$3</c:f>
              <c:numCache>
                <c:formatCode>General</c:formatCode>
                <c:ptCount val="5"/>
                <c:pt idx="0">
                  <c:v>257958.92</c:v>
                </c:pt>
                <c:pt idx="1">
                  <c:v>331049.3</c:v>
                </c:pt>
                <c:pt idx="2">
                  <c:v>325000</c:v>
                </c:pt>
                <c:pt idx="3">
                  <c:v>340000</c:v>
                </c:pt>
              </c:numCache>
            </c:numRef>
          </c:val>
          <c:extLst>
            <c:ext xmlns:c16="http://schemas.microsoft.com/office/drawing/2014/chart" uri="{C3380CC4-5D6E-409C-BE32-E72D297353CC}">
              <c16:uniqueId val="{00000001-71F7-4911-9247-F1FB45BC4B1C}"/>
            </c:ext>
          </c:extLst>
        </c:ser>
        <c:ser>
          <c:idx val="7"/>
          <c:order val="2"/>
          <c:tx>
            <c:strRef>
              <c:f>Sheet1!$A$4</c:f>
              <c:strCache>
                <c:ptCount val="1"/>
                <c:pt idx="0">
                  <c:v>Ingressi parcheggio</c:v>
                </c:pt>
              </c:strCache>
            </c:strRef>
          </c:tx>
          <c:spPr>
            <a:solidFill>
              <a:srgbClr val="CCCCFF"/>
            </a:solidFill>
            <a:ln w="12674">
              <a:solidFill>
                <a:srgbClr val="000000"/>
              </a:solidFill>
              <a:prstDash val="solid"/>
            </a:ln>
          </c:spPr>
          <c:invertIfNegative val="0"/>
          <c:cat>
            <c:numRef>
              <c:f>Sheet1!$B$1:$F$1</c:f>
              <c:numCache>
                <c:formatCode>General</c:formatCode>
                <c:ptCount val="5"/>
                <c:pt idx="0">
                  <c:v>2010</c:v>
                </c:pt>
                <c:pt idx="1">
                  <c:v>2011</c:v>
                </c:pt>
                <c:pt idx="2">
                  <c:v>2012</c:v>
                </c:pt>
                <c:pt idx="3">
                  <c:v>2013</c:v>
                </c:pt>
              </c:numCache>
            </c:numRef>
          </c:cat>
          <c:val>
            <c:numRef>
              <c:f>Sheet1!$B$4:$F$4</c:f>
              <c:numCache>
                <c:formatCode>0</c:formatCode>
                <c:ptCount val="5"/>
                <c:pt idx="0">
                  <c:v>80000</c:v>
                </c:pt>
                <c:pt idx="1">
                  <c:v>75000</c:v>
                </c:pt>
                <c:pt idx="2">
                  <c:v>110000</c:v>
                </c:pt>
                <c:pt idx="3">
                  <c:v>100000</c:v>
                </c:pt>
              </c:numCache>
            </c:numRef>
          </c:val>
          <c:extLst>
            <c:ext xmlns:c16="http://schemas.microsoft.com/office/drawing/2014/chart" uri="{C3380CC4-5D6E-409C-BE32-E72D297353CC}">
              <c16:uniqueId val="{00000002-71F7-4911-9247-F1FB45BC4B1C}"/>
            </c:ext>
          </c:extLst>
        </c:ser>
        <c:ser>
          <c:idx val="2"/>
          <c:order val="3"/>
          <c:tx>
            <c:strRef>
              <c:f>Sheet1!$A$5</c:f>
              <c:strCache>
                <c:ptCount val="1"/>
                <c:pt idx="0">
                  <c:v>Vendita animali</c:v>
                </c:pt>
              </c:strCache>
            </c:strRef>
          </c:tx>
          <c:spPr>
            <a:solidFill>
              <a:srgbClr val="FFFFCC"/>
            </a:solidFill>
            <a:ln w="12674">
              <a:solidFill>
                <a:srgbClr val="000000"/>
              </a:solidFill>
              <a:prstDash val="solid"/>
            </a:ln>
          </c:spPr>
          <c:invertIfNegative val="0"/>
          <c:cat>
            <c:numRef>
              <c:f>Sheet1!$B$1:$F$1</c:f>
              <c:numCache>
                <c:formatCode>General</c:formatCode>
                <c:ptCount val="5"/>
                <c:pt idx="0">
                  <c:v>2010</c:v>
                </c:pt>
                <c:pt idx="1">
                  <c:v>2011</c:v>
                </c:pt>
                <c:pt idx="2">
                  <c:v>2012</c:v>
                </c:pt>
                <c:pt idx="3">
                  <c:v>2013</c:v>
                </c:pt>
              </c:numCache>
            </c:numRef>
          </c:cat>
          <c:val>
            <c:numRef>
              <c:f>Sheet1!$B$5:$F$5</c:f>
              <c:numCache>
                <c:formatCode>General</c:formatCode>
                <c:ptCount val="5"/>
                <c:pt idx="0">
                  <c:v>44954.02</c:v>
                </c:pt>
                <c:pt idx="1">
                  <c:v>71245.850000000006</c:v>
                </c:pt>
                <c:pt idx="2">
                  <c:v>62000</c:v>
                </c:pt>
                <c:pt idx="3">
                  <c:v>65000</c:v>
                </c:pt>
              </c:numCache>
            </c:numRef>
          </c:val>
          <c:extLst>
            <c:ext xmlns:c16="http://schemas.microsoft.com/office/drawing/2014/chart" uri="{C3380CC4-5D6E-409C-BE32-E72D297353CC}">
              <c16:uniqueId val="{00000003-71F7-4911-9247-F1FB45BC4B1C}"/>
            </c:ext>
          </c:extLst>
        </c:ser>
        <c:ser>
          <c:idx val="3"/>
          <c:order val="4"/>
          <c:tx>
            <c:strRef>
              <c:f>Sheet1!$A$6</c:f>
              <c:strCache>
                <c:ptCount val="1"/>
                <c:pt idx="0">
                  <c:v>Permessi pesca</c:v>
                </c:pt>
              </c:strCache>
            </c:strRef>
          </c:tx>
          <c:spPr>
            <a:solidFill>
              <a:srgbClr val="CCFFFF"/>
            </a:solidFill>
            <a:ln w="12674">
              <a:solidFill>
                <a:srgbClr val="000000"/>
              </a:solidFill>
              <a:prstDash val="solid"/>
            </a:ln>
          </c:spPr>
          <c:invertIfNegative val="0"/>
          <c:cat>
            <c:numRef>
              <c:f>Sheet1!$B$1:$F$1</c:f>
              <c:numCache>
                <c:formatCode>General</c:formatCode>
                <c:ptCount val="5"/>
                <c:pt idx="0">
                  <c:v>2010</c:v>
                </c:pt>
                <c:pt idx="1">
                  <c:v>2011</c:v>
                </c:pt>
                <c:pt idx="2">
                  <c:v>2012</c:v>
                </c:pt>
                <c:pt idx="3">
                  <c:v>2013</c:v>
                </c:pt>
              </c:numCache>
            </c:numRef>
          </c:cat>
          <c:val>
            <c:numRef>
              <c:f>Sheet1!$B$6:$F$6</c:f>
              <c:numCache>
                <c:formatCode>General</c:formatCode>
                <c:ptCount val="5"/>
                <c:pt idx="0">
                  <c:v>9240</c:v>
                </c:pt>
                <c:pt idx="1">
                  <c:v>13660</c:v>
                </c:pt>
                <c:pt idx="2">
                  <c:v>13500</c:v>
                </c:pt>
                <c:pt idx="3">
                  <c:v>13500</c:v>
                </c:pt>
              </c:numCache>
            </c:numRef>
          </c:val>
          <c:extLst>
            <c:ext xmlns:c16="http://schemas.microsoft.com/office/drawing/2014/chart" uri="{C3380CC4-5D6E-409C-BE32-E72D297353CC}">
              <c16:uniqueId val="{00000004-71F7-4911-9247-F1FB45BC4B1C}"/>
            </c:ext>
          </c:extLst>
        </c:ser>
        <c:ser>
          <c:idx val="4"/>
          <c:order val="5"/>
          <c:tx>
            <c:strRef>
              <c:f>Sheet1!$A$7</c:f>
              <c:strCache>
                <c:ptCount val="1"/>
                <c:pt idx="0">
                  <c:v>Sponsorizzazioni</c:v>
                </c:pt>
              </c:strCache>
            </c:strRef>
          </c:tx>
          <c:spPr>
            <a:solidFill>
              <a:srgbClr val="660066"/>
            </a:solidFill>
            <a:ln w="12674">
              <a:solidFill>
                <a:srgbClr val="000000"/>
              </a:solidFill>
              <a:prstDash val="solid"/>
            </a:ln>
          </c:spPr>
          <c:invertIfNegative val="0"/>
          <c:cat>
            <c:numRef>
              <c:f>Sheet1!$B$1:$F$1</c:f>
              <c:numCache>
                <c:formatCode>General</c:formatCode>
                <c:ptCount val="5"/>
                <c:pt idx="0">
                  <c:v>2010</c:v>
                </c:pt>
                <c:pt idx="1">
                  <c:v>2011</c:v>
                </c:pt>
                <c:pt idx="2">
                  <c:v>2012</c:v>
                </c:pt>
                <c:pt idx="3">
                  <c:v>2013</c:v>
                </c:pt>
              </c:numCache>
            </c:numRef>
          </c:cat>
          <c:val>
            <c:numRef>
              <c:f>Sheet1!$B$7:$F$7</c:f>
              <c:numCache>
                <c:formatCode>General</c:formatCode>
                <c:ptCount val="5"/>
                <c:pt idx="0">
                  <c:v>10000</c:v>
                </c:pt>
                <c:pt idx="1">
                  <c:v>10000</c:v>
                </c:pt>
                <c:pt idx="2">
                  <c:v>10000</c:v>
                </c:pt>
                <c:pt idx="3">
                  <c:v>10000</c:v>
                </c:pt>
              </c:numCache>
            </c:numRef>
          </c:val>
          <c:extLst>
            <c:ext xmlns:c16="http://schemas.microsoft.com/office/drawing/2014/chart" uri="{C3380CC4-5D6E-409C-BE32-E72D297353CC}">
              <c16:uniqueId val="{00000005-71F7-4911-9247-F1FB45BC4B1C}"/>
            </c:ext>
          </c:extLst>
        </c:ser>
        <c:ser>
          <c:idx val="5"/>
          <c:order val="6"/>
          <c:tx>
            <c:strRef>
              <c:f>Sheet1!$A$8</c:f>
              <c:strCache>
                <c:ptCount val="1"/>
                <c:pt idx="0">
                  <c:v>Interessi attivi</c:v>
                </c:pt>
              </c:strCache>
            </c:strRef>
          </c:tx>
          <c:spPr>
            <a:solidFill>
              <a:srgbClr val="FF8080"/>
            </a:solidFill>
            <a:ln w="12674">
              <a:solidFill>
                <a:srgbClr val="000000"/>
              </a:solidFill>
              <a:prstDash val="solid"/>
            </a:ln>
          </c:spPr>
          <c:invertIfNegative val="0"/>
          <c:cat>
            <c:numRef>
              <c:f>Sheet1!$B$1:$F$1</c:f>
              <c:numCache>
                <c:formatCode>General</c:formatCode>
                <c:ptCount val="5"/>
                <c:pt idx="0">
                  <c:v>2010</c:v>
                </c:pt>
                <c:pt idx="1">
                  <c:v>2011</c:v>
                </c:pt>
                <c:pt idx="2">
                  <c:v>2012</c:v>
                </c:pt>
                <c:pt idx="3">
                  <c:v>2013</c:v>
                </c:pt>
              </c:numCache>
            </c:numRef>
          </c:cat>
          <c:val>
            <c:numRef>
              <c:f>Sheet1!$B$8:$F$8</c:f>
              <c:numCache>
                <c:formatCode>General</c:formatCode>
                <c:ptCount val="5"/>
                <c:pt idx="0">
                  <c:v>4507.45</c:v>
                </c:pt>
                <c:pt idx="1">
                  <c:v>7778.31</c:v>
                </c:pt>
                <c:pt idx="2">
                  <c:v>2750.3</c:v>
                </c:pt>
                <c:pt idx="3">
                  <c:v>0</c:v>
                </c:pt>
              </c:numCache>
            </c:numRef>
          </c:val>
          <c:extLst>
            <c:ext xmlns:c16="http://schemas.microsoft.com/office/drawing/2014/chart" uri="{C3380CC4-5D6E-409C-BE32-E72D297353CC}">
              <c16:uniqueId val="{00000006-71F7-4911-9247-F1FB45BC4B1C}"/>
            </c:ext>
          </c:extLst>
        </c:ser>
        <c:ser>
          <c:idx val="6"/>
          <c:order val="7"/>
          <c:tx>
            <c:strRef>
              <c:f>Sheet1!$A$9</c:f>
              <c:strCache>
                <c:ptCount val="1"/>
                <c:pt idx="0">
                  <c:v>Diverse</c:v>
                </c:pt>
              </c:strCache>
            </c:strRef>
          </c:tx>
          <c:spPr>
            <a:solidFill>
              <a:srgbClr val="0066CC"/>
            </a:solidFill>
            <a:ln w="12674">
              <a:solidFill>
                <a:srgbClr val="000000"/>
              </a:solidFill>
              <a:prstDash val="solid"/>
            </a:ln>
          </c:spPr>
          <c:invertIfNegative val="0"/>
          <c:cat>
            <c:numRef>
              <c:f>Sheet1!$B$1:$F$1</c:f>
              <c:numCache>
                <c:formatCode>General</c:formatCode>
                <c:ptCount val="5"/>
                <c:pt idx="0">
                  <c:v>2010</c:v>
                </c:pt>
                <c:pt idx="1">
                  <c:v>2011</c:v>
                </c:pt>
                <c:pt idx="2">
                  <c:v>2012</c:v>
                </c:pt>
                <c:pt idx="3">
                  <c:v>2013</c:v>
                </c:pt>
              </c:numCache>
            </c:numRef>
          </c:cat>
          <c:val>
            <c:numRef>
              <c:f>Sheet1!$B$9:$F$9</c:f>
              <c:numCache>
                <c:formatCode>General</c:formatCode>
                <c:ptCount val="5"/>
                <c:pt idx="0">
                  <c:v>88467.1</c:v>
                </c:pt>
                <c:pt idx="1">
                  <c:v>63329.3</c:v>
                </c:pt>
                <c:pt idx="2">
                  <c:v>64550</c:v>
                </c:pt>
                <c:pt idx="3">
                  <c:v>72500</c:v>
                </c:pt>
              </c:numCache>
            </c:numRef>
          </c:val>
          <c:extLst>
            <c:ext xmlns:c16="http://schemas.microsoft.com/office/drawing/2014/chart" uri="{C3380CC4-5D6E-409C-BE32-E72D297353CC}">
              <c16:uniqueId val="{00000007-71F7-4911-9247-F1FB45BC4B1C}"/>
            </c:ext>
          </c:extLst>
        </c:ser>
        <c:dLbls>
          <c:showLegendKey val="0"/>
          <c:showVal val="0"/>
          <c:showCatName val="0"/>
          <c:showSerName val="0"/>
          <c:showPercent val="0"/>
          <c:showBubbleSize val="0"/>
        </c:dLbls>
        <c:gapWidth val="150"/>
        <c:gapDepth val="0"/>
        <c:shape val="box"/>
        <c:axId val="146976344"/>
        <c:axId val="1"/>
        <c:axId val="0"/>
      </c:bar3DChart>
      <c:catAx>
        <c:axId val="146976344"/>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973" b="1" i="0" u="none" strike="noStrike" baseline="0">
                <a:solidFill>
                  <a:srgbClr val="000000"/>
                </a:solidFill>
                <a:latin typeface="Calibri"/>
                <a:ea typeface="Calibri"/>
                <a:cs typeface="Calibri"/>
              </a:defRPr>
            </a:pPr>
            <a:endParaRPr lang="it-IT"/>
          </a:p>
        </c:txPr>
        <c:crossAx val="1"/>
        <c:crosses val="autoZero"/>
        <c:auto val="1"/>
        <c:lblAlgn val="ctr"/>
        <c:lblOffset val="100"/>
        <c:tickLblSkip val="1"/>
        <c:tickMarkSkip val="1"/>
        <c:noMultiLvlLbl val="0"/>
      </c:catAx>
      <c:valAx>
        <c:axId val="1"/>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973" b="1" i="0" u="none" strike="noStrike" baseline="0">
                <a:solidFill>
                  <a:srgbClr val="000000"/>
                </a:solidFill>
                <a:latin typeface="Calibri"/>
                <a:ea typeface="Calibri"/>
                <a:cs typeface="Calibri"/>
              </a:defRPr>
            </a:pPr>
            <a:endParaRPr lang="it-IT"/>
          </a:p>
        </c:txPr>
        <c:crossAx val="146976344"/>
        <c:crosses val="autoZero"/>
        <c:crossBetween val="between"/>
      </c:valAx>
      <c:spPr>
        <a:noFill/>
        <a:ln w="25347">
          <a:noFill/>
        </a:ln>
      </c:spPr>
    </c:plotArea>
    <c:legend>
      <c:legendPos val="r"/>
      <c:layout>
        <c:manualLayout>
          <c:xMode val="edge"/>
          <c:yMode val="edge"/>
          <c:x val="0.72805139186295498"/>
          <c:y val="0.1210762331838565"/>
          <c:w val="0.2633832976445396"/>
          <c:h val="0.75784753363228696"/>
        </c:manualLayout>
      </c:layout>
      <c:overlay val="0"/>
      <c:spPr>
        <a:noFill/>
        <a:ln w="3168">
          <a:solidFill>
            <a:srgbClr val="000000"/>
          </a:solidFill>
          <a:prstDash val="solid"/>
        </a:ln>
      </c:spPr>
      <c:txPr>
        <a:bodyPr/>
        <a:lstStyle/>
        <a:p>
          <a:pPr>
            <a:defRPr sz="893" b="1" i="0" u="none" strike="noStrike" baseline="0">
              <a:solidFill>
                <a:srgbClr val="000000"/>
              </a:solidFill>
              <a:latin typeface="Calibri"/>
              <a:ea typeface="Calibri"/>
              <a:cs typeface="Calibri"/>
            </a:defRPr>
          </a:pPr>
          <a:endParaRPr lang="it-IT"/>
        </a:p>
      </c:txPr>
    </c:legend>
    <c:plotVisOnly val="1"/>
    <c:dispBlanksAs val="gap"/>
    <c:showDLblsOverMax val="0"/>
  </c:chart>
  <c:spPr>
    <a:noFill/>
    <a:ln>
      <a:noFill/>
    </a:ln>
  </c:spPr>
  <c:txPr>
    <a:bodyPr/>
    <a:lstStyle/>
    <a:p>
      <a:pPr>
        <a:defRPr sz="973" b="1" i="0" u="none" strike="noStrike" baseline="0">
          <a:solidFill>
            <a:srgbClr val="000000"/>
          </a:solidFill>
          <a:latin typeface="Calibri"/>
          <a:ea typeface="Calibri"/>
          <a:cs typeface="Calibri"/>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1681</Words>
  <Characters>9586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RelazPrevProgr</vt:lpstr>
    </vt:vector>
  </TitlesOfParts>
  <Company>Parco Regionale della Maremma</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RelazPrevProgr</dc:title>
  <dc:subject/>
  <dc:creator>Catia</dc:creator>
  <cp:keywords>Ethan</cp:keywords>
  <dc:description/>
  <cp:lastModifiedBy>Catia Biliotti</cp:lastModifiedBy>
  <cp:revision>6</cp:revision>
  <cp:lastPrinted>2012-12-04T09:17:00Z</cp:lastPrinted>
  <dcterms:created xsi:type="dcterms:W3CDTF">2019-03-25T10:47:00Z</dcterms:created>
  <dcterms:modified xsi:type="dcterms:W3CDTF">2019-03-25T11:21:00Z</dcterms:modified>
</cp:coreProperties>
</file>